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0084_原文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15:13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帛书相马经。相马经是迄今所知最早的相马著作，内容主要是总结了如何通过观察马的目、睫、眉骨等部位鉴定马匹的优劣。您看到的这一页帛书有对良马眼睛尺寸的记载，一寸带路，两寸胆迷，三寸可以洗屋，四寸可以理天下。所以有学者认为，马踏飞燕青铜造型是一种相马模具，其中的飞燕实际是乌鸦，而马则属于帛书相马经中可以袭屋的天马。相马经原著早已失传，利辛墓出土的这部帛书是他的重要抄本，全文用隶书抄写，从行文类似于附体和书中提到南山、汉水、江水等山川来推断，原著很有可能是战国时期楚人的著作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2024-07-09T07:31:20Z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E6636BB100BBAFBB4581D91E6DDB8FA411EEBE3C33DDDDBDEAA3463F44DFE53A3E5B9DEC4150E4D4A81E3708DE1F40E70E62F4C31D0B28225474DC705B08CE6EA837B35</vt:lpwstr>
  </property>
</Properties>
</file>