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文献阅读笔记</w:t>
      </w:r>
    </w:p>
    <w:p w14:paraId="30F9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学生姓名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：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    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0EF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指导教师：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2FBD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毕业论文题目：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tbl>
      <w:tblPr>
        <w:tblStyle w:val="5"/>
        <w:tblW w:w="4903" w:type="pct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8101"/>
      </w:tblGrid>
      <w:tr w14:paraId="209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1DCBC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文献标题</w:t>
            </w:r>
          </w:p>
        </w:tc>
        <w:tc>
          <w:tcPr>
            <w:tcW w:w="4215" w:type="pct"/>
          </w:tcPr>
          <w:p w14:paraId="332A56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主流媒体短视频新闻的新型叙事——以人民日报抖音号为例</w:t>
            </w:r>
          </w:p>
        </w:tc>
      </w:tr>
      <w:tr w14:paraId="6DDC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54A0E4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文献来源</w:t>
            </w:r>
          </w:p>
        </w:tc>
        <w:tc>
          <w:tcPr>
            <w:tcW w:w="4215" w:type="pct"/>
          </w:tcPr>
          <w:p w14:paraId="5A36FBD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新媒体研究，2020年第6卷第10期，第15-17页</w:t>
            </w:r>
          </w:p>
        </w:tc>
      </w:tr>
      <w:tr w14:paraId="31F3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6D682F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文献作者</w:t>
            </w:r>
          </w:p>
        </w:tc>
        <w:tc>
          <w:tcPr>
            <w:tcW w:w="4215" w:type="pct"/>
          </w:tcPr>
          <w:p w14:paraId="29A3E5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陈贝贝</w:t>
            </w:r>
          </w:p>
        </w:tc>
      </w:tr>
      <w:tr w14:paraId="7F02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79B0D3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刊物级别</w:t>
            </w:r>
          </w:p>
        </w:tc>
        <w:tc>
          <w:tcPr>
            <w:tcW w:w="4215" w:type="pct"/>
          </w:tcPr>
          <w:p w14:paraId="2DDDCE8A">
            <w:pPr>
              <w:ind w:firstLine="1120" w:firstLineChars="4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□核心期刊             ☑普通期刊</w:t>
            </w:r>
          </w:p>
        </w:tc>
      </w:tr>
      <w:tr w14:paraId="369E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22A32B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文献摘要</w:t>
            </w:r>
          </w:p>
        </w:tc>
      </w:tr>
      <w:tr w14:paraId="0FAA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</w:tcPr>
          <w:p w14:paraId="399F1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摘要：短视频平台的兴起催生了主流媒体新闻叙事的变革。本文以人民日报抖音号为例，分析主流媒体短视频新闻的新型叙事特征，从叙事题材、叙事方式、叙事语态等方面展开探讨，揭示短视频技术对新闻叙事的重塑效应。</w:t>
              <w:br/>
              <w:br/>
              <w:t>关键词：主流媒体；短视频新闻；新型叙事；人民日报；抖音</w:t>
            </w:r>
          </w:p>
          <w:p w14:paraId="14EA245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876DB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6C2E02B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686D64B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6CCA9CC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D5462A5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460ABE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5339DB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C5CF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98224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701C1727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  <w:tr w14:paraId="3AB3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4CD566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阅读笔记</w:t>
            </w:r>
          </w:p>
        </w:tc>
      </w:tr>
      <w:tr w14:paraId="1FDB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4" w:hRule="atLeast"/>
        </w:trPr>
        <w:tc>
          <w:tcPr>
            <w:tcW w:w="5000" w:type="pct"/>
            <w:gridSpan w:val="2"/>
          </w:tcPr>
          <w:p w14:paraId="71442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研究对象：</w:t>
              <w:br/>
              <w:t>人民日报抖音号短视频新闻的新型叙事特征。</w:t>
              <w:br/>
              <w:br/>
              <w:t>研究目的：</w:t>
              <w:br/>
              <w:t>揭示短视频平台对主流媒体新闻叙事带来的变革，总结新型叙事的特征与规律。</w:t>
              <w:br/>
              <w:br/>
              <w:t>研究方法、理论：</w:t>
              <w:br/>
              <w:t>1. 叙事学理论：从叙事题材、叙事方式、叙事语态等维度构建分析框架。</w:t>
              <w:br/>
              <w:t>2. 案例分析法：以人民日报抖音号为典型案例进行分析。</w:t>
              <w:br/>
              <w:t>3. 比较研究法：与传统新闻叙事进行对比分析。</w:t>
              <w:br/>
              <w:br/>
              <w:t>研究过程（思路）：</w:t>
              <w:br/>
              <w:t>首先阐述短视频对新闻叙事变革的背景；</w:t>
              <w:br/>
              <w:t>其次从叙事题材分析：由硬新闻向软新闻拓展，民生类、暖新闻比重增加；</w:t>
              <w:br/>
              <w:t>再次从叙事方式分析：由线性叙事向非线性叙事发展，碎片化、沉浸式特征明显；</w:t>
              <w:br/>
              <w:t>然后从叙事语态分析：由宣传语态向对话语态转变，亲民化、口语化特征突出；</w:t>
              <w:br/>
              <w:t>最后总结新型叙事的价值与局限。</w:t>
              <w:br/>
              <w:br/>
              <w:t>主要观点及结论：</w:t>
              <w:br/>
              <w:t>1. 短视频新闻形成了不同于传统新闻的"新型叙事"，体现在题材、方式、语态三个层面的转变。</w:t>
              <w:br/>
              <w:t>2. 叙事题材从以硬新闻为主转向软硬结合，暖新闻和正能量内容比重显著增加。</w:t>
              <w:br/>
              <w:t>3. 叙事方式从线性完整叙事转向碎片化、场景化叙事，注重"瞬间"的叙事力量。</w:t>
              <w:br/>
              <w:t>4. 叙事语态从权威宣教式转向平等对话式，拉近了与受众的心理距离。</w:t>
              <w:br/>
              <w:t>5. 新型叙事适应了移动传播环境，但需警惕碎片化和浅表化的风险。</w:t>
            </w:r>
          </w:p>
          <w:p w14:paraId="2BA0DB6C">
            <w:pPr>
              <w:rPr>
                <w:rFonts w:hint="eastAsia"/>
                <w:lang w:val="en-US" w:eastAsia="zh-CN"/>
              </w:rPr>
            </w:pPr>
          </w:p>
          <w:p w14:paraId="72AAD50B">
            <w:pPr>
              <w:rPr>
                <w:rFonts w:hint="eastAsia"/>
                <w:lang w:val="en-US" w:eastAsia="zh-CN"/>
              </w:rPr>
            </w:pPr>
          </w:p>
          <w:p w14:paraId="46A65BFE">
            <w:pPr>
              <w:rPr>
                <w:rFonts w:hint="eastAsia"/>
                <w:lang w:val="en-US" w:eastAsia="zh-CN"/>
              </w:rPr>
            </w:pPr>
          </w:p>
          <w:p w14:paraId="10863C26">
            <w:pPr>
              <w:rPr>
                <w:rFonts w:hint="eastAsia"/>
                <w:lang w:val="en-US" w:eastAsia="zh-CN"/>
              </w:rPr>
            </w:pPr>
          </w:p>
          <w:p w14:paraId="375F4DDD">
            <w:pPr>
              <w:rPr>
                <w:rFonts w:hint="eastAsia"/>
                <w:lang w:val="en-US" w:eastAsia="zh-CN"/>
              </w:rPr>
            </w:pPr>
          </w:p>
          <w:p w14:paraId="6940254B">
            <w:pPr>
              <w:rPr>
                <w:rFonts w:hint="eastAsia"/>
                <w:lang w:val="en-US" w:eastAsia="zh-CN"/>
              </w:rPr>
            </w:pPr>
          </w:p>
          <w:p w14:paraId="24467C23">
            <w:pPr>
              <w:rPr>
                <w:rFonts w:hint="eastAsia"/>
                <w:lang w:val="en-US" w:eastAsia="zh-CN"/>
              </w:rPr>
            </w:pPr>
          </w:p>
          <w:p w14:paraId="79C8F635">
            <w:pPr>
              <w:rPr>
                <w:rFonts w:hint="eastAsia"/>
                <w:lang w:val="en-US" w:eastAsia="zh-CN"/>
              </w:rPr>
            </w:pPr>
          </w:p>
          <w:p w14:paraId="6DC2BB8C">
            <w:pPr>
              <w:rPr>
                <w:rFonts w:hint="eastAsia"/>
                <w:lang w:val="en-US" w:eastAsia="zh-CN"/>
              </w:rPr>
            </w:pPr>
          </w:p>
          <w:p w14:paraId="7D865A5E">
            <w:pPr>
              <w:rPr>
                <w:rFonts w:hint="eastAsia"/>
                <w:lang w:val="en-US" w:eastAsia="zh-CN"/>
              </w:rPr>
            </w:pPr>
          </w:p>
          <w:p w14:paraId="2CC5F0CE">
            <w:pPr>
              <w:rPr>
                <w:rFonts w:hint="eastAsia"/>
                <w:lang w:val="en-US" w:eastAsia="zh-CN"/>
              </w:rPr>
            </w:pPr>
          </w:p>
          <w:p w14:paraId="27DBEFD9">
            <w:pPr>
              <w:rPr>
                <w:rFonts w:hint="eastAsia"/>
                <w:lang w:val="en-US" w:eastAsia="zh-CN"/>
              </w:rPr>
            </w:pPr>
          </w:p>
          <w:p w14:paraId="4F5B37A4">
            <w:pPr>
              <w:rPr>
                <w:rFonts w:hint="eastAsia"/>
                <w:lang w:val="en-US" w:eastAsia="zh-CN"/>
              </w:rPr>
            </w:pPr>
          </w:p>
          <w:p w14:paraId="6FD0F5A0">
            <w:pPr>
              <w:rPr>
                <w:rFonts w:hint="eastAsia"/>
                <w:lang w:val="en-US" w:eastAsia="zh-CN"/>
              </w:rPr>
            </w:pPr>
          </w:p>
          <w:p w14:paraId="3C2CF78D">
            <w:pPr>
              <w:rPr>
                <w:rFonts w:hint="eastAsia"/>
                <w:lang w:val="en-US" w:eastAsia="zh-CN"/>
              </w:rPr>
            </w:pPr>
          </w:p>
          <w:p w14:paraId="670B3ACE">
            <w:pPr>
              <w:rPr>
                <w:rFonts w:hint="eastAsia"/>
                <w:lang w:val="en-US" w:eastAsia="zh-CN"/>
              </w:rPr>
            </w:pPr>
          </w:p>
          <w:p w14:paraId="4E8ED0B2">
            <w:pPr>
              <w:rPr>
                <w:rFonts w:hint="eastAsia"/>
                <w:lang w:val="en-US" w:eastAsia="zh-CN"/>
              </w:rPr>
            </w:pPr>
          </w:p>
          <w:p w14:paraId="72FF17C1">
            <w:pPr>
              <w:rPr>
                <w:rFonts w:hint="eastAsia"/>
                <w:lang w:val="en-US" w:eastAsia="zh-CN"/>
              </w:rPr>
            </w:pPr>
          </w:p>
          <w:p w14:paraId="03F13B6D">
            <w:pPr>
              <w:rPr>
                <w:rFonts w:hint="eastAsia"/>
                <w:lang w:val="en-US" w:eastAsia="zh-CN"/>
              </w:rPr>
            </w:pPr>
          </w:p>
          <w:p w14:paraId="052ABA68">
            <w:pPr>
              <w:rPr>
                <w:rFonts w:hint="eastAsia"/>
                <w:lang w:val="en-US" w:eastAsia="zh-CN"/>
              </w:rPr>
            </w:pPr>
          </w:p>
          <w:p w14:paraId="2CB10099">
            <w:pPr>
              <w:rPr>
                <w:rFonts w:hint="eastAsia"/>
                <w:lang w:val="en-US" w:eastAsia="zh-CN"/>
              </w:rPr>
            </w:pPr>
          </w:p>
          <w:p w14:paraId="58D0C27E">
            <w:pPr>
              <w:rPr>
                <w:rFonts w:hint="eastAsia"/>
                <w:lang w:val="en-US" w:eastAsia="zh-CN"/>
              </w:rPr>
            </w:pPr>
          </w:p>
          <w:p w14:paraId="35AC5943">
            <w:pPr>
              <w:rPr>
                <w:rFonts w:hint="eastAsia"/>
                <w:lang w:val="en-US" w:eastAsia="zh-CN"/>
              </w:rPr>
            </w:pPr>
          </w:p>
          <w:p w14:paraId="685A2469">
            <w:pPr>
              <w:rPr>
                <w:rFonts w:hint="eastAsia"/>
                <w:lang w:val="en-US" w:eastAsia="zh-CN"/>
              </w:rPr>
            </w:pPr>
          </w:p>
          <w:p w14:paraId="2CA378ED">
            <w:pPr>
              <w:rPr>
                <w:rFonts w:hint="eastAsia"/>
                <w:lang w:val="en-US" w:eastAsia="zh-CN"/>
              </w:rPr>
            </w:pPr>
          </w:p>
          <w:p w14:paraId="6A7FD242">
            <w:pPr>
              <w:rPr>
                <w:rFonts w:hint="eastAsia"/>
                <w:lang w:val="en-US" w:eastAsia="zh-CN"/>
              </w:rPr>
            </w:pPr>
          </w:p>
          <w:p w14:paraId="755B4B7A">
            <w:pPr>
              <w:rPr>
                <w:rFonts w:hint="eastAsia"/>
                <w:lang w:val="en-US" w:eastAsia="zh-CN"/>
              </w:rPr>
            </w:pPr>
          </w:p>
          <w:p w14:paraId="47CD002D">
            <w:pPr>
              <w:rPr>
                <w:rFonts w:hint="eastAsia"/>
                <w:lang w:val="en-US" w:eastAsia="zh-CN"/>
              </w:rPr>
            </w:pPr>
          </w:p>
          <w:p w14:paraId="258AF05F">
            <w:pPr>
              <w:rPr>
                <w:rFonts w:hint="eastAsia"/>
                <w:lang w:val="en-US" w:eastAsia="zh-CN"/>
              </w:rPr>
            </w:pPr>
          </w:p>
          <w:p w14:paraId="477D0E07">
            <w:pPr>
              <w:rPr>
                <w:rFonts w:hint="eastAsia"/>
                <w:lang w:val="en-US" w:eastAsia="zh-CN"/>
              </w:rPr>
            </w:pPr>
          </w:p>
          <w:p w14:paraId="0A7A08BF">
            <w:pPr>
              <w:rPr>
                <w:rFonts w:hint="eastAsia"/>
                <w:lang w:val="en-US" w:eastAsia="zh-CN"/>
              </w:rPr>
            </w:pPr>
          </w:p>
          <w:p w14:paraId="3880C98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94A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5000" w:type="pct"/>
            <w:gridSpan w:val="2"/>
          </w:tcPr>
          <w:p w14:paraId="6054944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简要述评</w:t>
            </w:r>
          </w:p>
        </w:tc>
      </w:tr>
      <w:tr w14:paraId="718C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4" w:hRule="atLeast"/>
        </w:trPr>
        <w:tc>
          <w:tcPr>
            <w:tcW w:w="5000" w:type="pct"/>
            <w:gridSpan w:val="2"/>
          </w:tcPr>
          <w:p w14:paraId="790BE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文献创新性：</w:t>
              <w:br/>
              <w:t>较早（2020年）关注主流媒体短视频新闻的"叙事变革"，具有前瞻性，"新型叙事"概念的提出有一定理论开拓意义。</w:t>
              <w:br/>
              <w:br/>
              <w:t>对本人选题的价值和借鉴意义：</w:t>
              <w:br/>
              <w:t>1. 从"变革"视角审视短视频新闻叙事，有助于理解当前叙事形态的历史演进。</w:t>
              <w:br/>
              <w:t>2. 题材-方式-语态的三维分析框架简洁有效。</w:t>
              <w:br/>
              <w:t>3. 对叙事语态转变的分析对理解主流媒体的"话语下沉"策略有启发。</w:t>
              <w:br/>
              <w:br/>
              <w:t>阅读后收获：</w:t>
              <w:br/>
              <w:t>短视频新闻的叙事革新本质上是传播语境变化驱动下的主动适应，理解"变"的逻辑有助于把握叙事发展的方向。</w:t>
            </w:r>
          </w:p>
          <w:p w14:paraId="3F8012AA">
            <w:pPr>
              <w:rPr>
                <w:rFonts w:hint="eastAsia"/>
                <w:lang w:val="en-US" w:eastAsia="zh-CN"/>
              </w:rPr>
            </w:pPr>
          </w:p>
          <w:p w14:paraId="0455EAC4">
            <w:pPr>
              <w:rPr>
                <w:rFonts w:hint="eastAsia"/>
                <w:lang w:val="en-US" w:eastAsia="zh-CN"/>
              </w:rPr>
            </w:pPr>
          </w:p>
          <w:p w14:paraId="2925449C">
            <w:pPr>
              <w:rPr>
                <w:rFonts w:hint="eastAsia"/>
                <w:lang w:val="en-US" w:eastAsia="zh-CN"/>
              </w:rPr>
            </w:pPr>
          </w:p>
          <w:p w14:paraId="2D528860">
            <w:pPr>
              <w:rPr>
                <w:rFonts w:hint="eastAsia"/>
                <w:lang w:val="en-US" w:eastAsia="zh-CN"/>
              </w:rPr>
            </w:pPr>
          </w:p>
          <w:p w14:paraId="6B9F41BC">
            <w:pPr>
              <w:rPr>
                <w:rFonts w:hint="eastAsia"/>
                <w:lang w:val="en-US" w:eastAsia="zh-CN"/>
              </w:rPr>
            </w:pPr>
          </w:p>
          <w:p w14:paraId="2356C3CC">
            <w:pPr>
              <w:rPr>
                <w:rFonts w:hint="eastAsia"/>
                <w:lang w:val="en-US" w:eastAsia="zh-CN"/>
              </w:rPr>
            </w:pPr>
          </w:p>
          <w:p w14:paraId="32C1A50E">
            <w:pPr>
              <w:rPr>
                <w:rFonts w:hint="eastAsia"/>
                <w:lang w:val="en-US" w:eastAsia="zh-CN"/>
              </w:rPr>
            </w:pPr>
          </w:p>
          <w:p w14:paraId="2F7F2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5734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9CAE9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9CAE9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10A95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792605" cy="311150"/>
          <wp:effectExtent l="0" t="0" r="0" b="10160"/>
          <wp:docPr id="1" name="图片 1" descr="河北环境工程学院-校名和校徽-18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河北环境工程学院-校名和校徽-18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2605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948E9"/>
    <w:rsid w:val="190E6095"/>
    <w:rsid w:val="1F7560A3"/>
    <w:rsid w:val="260F62B9"/>
    <w:rsid w:val="3FB23A75"/>
    <w:rsid w:val="7F92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1118</Words>
  <Characters>1152</Characters>
  <Lines>0</Lines>
  <Paragraphs>0</Paragraphs>
  <TotalTime>15</TotalTime>
  <ScaleCrop>false</ScaleCrop>
  <LinksUpToDate>false</LinksUpToDate>
  <CharactersWithSpaces>1429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2021-09-30T12:10:00Z</dcterms:created>
  <dc:creator>Administrator</dc:creator>
  <cp:lastModifiedBy>葛涵</cp:lastModifiedBy>
  <cp:lastPrinted>2021-09-30T12:36:00Z</cp:lastPrinted>
  <dcterms:modified xsi:type="dcterms:W3CDTF">2026-03-17T07:54:00Z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460668179E054C79B5C1DF2B598A4EF7_13</vt:lpwstr>
  </property>
</Properties>
</file>