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4A3BF">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ascii="黑体" w:hAnsi="黑体" w:eastAsia="黑体" w:cs="黑体"/>
          <w:b w:val="0"/>
          <w:bCs w:val="0"/>
          <w:sz w:val="32"/>
          <w:szCs w:val="32"/>
          <w:lang w:val="en-US" w:eastAsia="zh-CN"/>
        </w:rPr>
      </w:pPr>
      <w:bookmarkStart w:id="0" w:name="_GoBack"/>
      <w:bookmarkEnd w:id="0"/>
      <w:r>
        <w:rPr>
          <w:rFonts w:hint="eastAsia" w:ascii="黑体" w:hAnsi="黑体" w:eastAsia="黑体" w:cs="黑体"/>
          <w:b w:val="0"/>
          <w:bCs w:val="0"/>
          <w:sz w:val="32"/>
          <w:szCs w:val="32"/>
          <w:lang w:val="en-US" w:eastAsia="zh-CN"/>
        </w:rPr>
        <w:t>文献阅读笔记</w:t>
      </w:r>
    </w:p>
    <w:p w14:paraId="30F986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学生姓名</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r>
        <w:rPr>
          <w:rFonts w:hint="eastAsia" w:ascii="仿宋" w:hAnsi="仿宋" w:eastAsia="仿宋" w:cs="仿宋"/>
          <w:b/>
          <w:bCs/>
          <w:sz w:val="28"/>
          <w:szCs w:val="28"/>
          <w:lang w:val="en-US" w:eastAsia="zh-CN"/>
        </w:rPr>
        <w:t>学    号：</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50EF82A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专业班级：</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 xml:space="preserve">     </w:t>
      </w:r>
      <w:r>
        <w:rPr>
          <w:rFonts w:hint="eastAsia" w:ascii="仿宋" w:hAnsi="仿宋" w:eastAsia="仿宋" w:cs="仿宋"/>
          <w:b/>
          <w:bCs/>
          <w:sz w:val="28"/>
          <w:szCs w:val="28"/>
          <w:lang w:val="en-US" w:eastAsia="zh-CN"/>
        </w:rPr>
        <w:t>指导教师：</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12FBDC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毕业论文题目：</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tbl>
      <w:tblPr>
        <w:tblStyle w:val="5"/>
        <w:tblW w:w="4903" w:type="pct"/>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6"/>
        <w:gridCol w:w="8101"/>
      </w:tblGrid>
      <w:tr w14:paraId="20934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1DCBCDC6">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文献标题</w:t>
            </w:r>
          </w:p>
        </w:tc>
        <w:tc>
          <w:tcPr>
            <w:tcW w:w="4215" w:type="pct"/>
          </w:tcPr>
          <w:p w14:paraId="332A560C">
            <w:pPr>
              <w:rPr>
                <w:rFonts w:hint="eastAsia" w:ascii="仿宋" w:hAnsi="仿宋" w:eastAsia="仿宋" w:cs="仿宋"/>
                <w:sz w:val="28"/>
                <w:szCs w:val="28"/>
                <w:lang w:val="en-US" w:eastAsia="zh-CN"/>
              </w:rPr>
            </w:pPr>
            <w:r>
              <w:t>主流媒体如何在新闻短视频话语转型中坚守公信力</w:t>
            </w:r>
          </w:p>
        </w:tc>
      </w:tr>
      <w:tr w14:paraId="6DDC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54A0E4BC">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文献来源</w:t>
            </w:r>
          </w:p>
        </w:tc>
        <w:tc>
          <w:tcPr>
            <w:tcW w:w="4215" w:type="pct"/>
          </w:tcPr>
          <w:p w14:paraId="5A36FBD4">
            <w:pPr>
              <w:rPr>
                <w:rFonts w:hint="eastAsia" w:ascii="仿宋" w:hAnsi="仿宋" w:eastAsia="仿宋" w:cs="仿宋"/>
                <w:sz w:val="28"/>
                <w:szCs w:val="28"/>
                <w:lang w:val="en-US" w:eastAsia="zh-CN"/>
              </w:rPr>
            </w:pPr>
            <w:r>
              <w:t>记者摇篮，2025年第11期，第78-80页</w:t>
            </w:r>
          </w:p>
        </w:tc>
      </w:tr>
      <w:tr w14:paraId="31F3F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6D682FB1">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文献作者</w:t>
            </w:r>
          </w:p>
        </w:tc>
        <w:tc>
          <w:tcPr>
            <w:tcW w:w="4215" w:type="pct"/>
          </w:tcPr>
          <w:p w14:paraId="29A3E50C">
            <w:pPr>
              <w:rPr>
                <w:rFonts w:hint="eastAsia" w:ascii="仿宋" w:hAnsi="仿宋" w:eastAsia="仿宋" w:cs="仿宋"/>
                <w:sz w:val="28"/>
                <w:szCs w:val="28"/>
                <w:lang w:val="en-US" w:eastAsia="zh-CN"/>
              </w:rPr>
            </w:pPr>
            <w:r>
              <w:t>黄怡</w:t>
            </w:r>
          </w:p>
        </w:tc>
      </w:tr>
      <w:tr w14:paraId="7F029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79B0D358">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刊物级别</w:t>
            </w:r>
          </w:p>
        </w:tc>
        <w:tc>
          <w:tcPr>
            <w:tcW w:w="4215" w:type="pct"/>
          </w:tcPr>
          <w:p w14:paraId="2DDDCE8A">
            <w:pPr>
              <w:ind w:firstLine="1120" w:firstLineChars="400"/>
              <w:rPr>
                <w:rFonts w:hint="eastAsia" w:ascii="仿宋" w:hAnsi="仿宋" w:eastAsia="仿宋" w:cs="仿宋"/>
                <w:sz w:val="28"/>
                <w:szCs w:val="28"/>
                <w:lang w:val="en-US" w:eastAsia="zh-CN"/>
              </w:rPr>
            </w:pPr>
            <w:r>
              <w:t>□核心期刊             ☑普通期刊</w:t>
            </w:r>
          </w:p>
        </w:tc>
      </w:tr>
      <w:tr w14:paraId="369E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222A32BC">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文献摘要</w:t>
            </w:r>
          </w:p>
        </w:tc>
      </w:tr>
      <w:tr w14:paraId="0FAA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tcPr>
          <w:p w14:paraId="399F10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摘要：在新闻短视频化的趋势下，主流媒体面临话语转型与公信力维护的双重挑战。本文探讨主流媒体在新闻短视频话语转型过程中如何坚守公信力，分析话语转型对公信力的潜在影响，并提出在保持话语亲和力的同时维护新闻专业性和公信力的策略。</w:t>
              <w:br/>
              <w:br/>
              <w:t>关键词：主流媒体；新闻短视频；话语转型；公信力；新闻专业主义</w:t>
            </w:r>
          </w:p>
          <w:p w14:paraId="14EA2450">
            <w:pPr>
              <w:rPr>
                <w:rFonts w:hint="eastAsia" w:ascii="仿宋" w:hAnsi="仿宋" w:eastAsia="仿宋" w:cs="仿宋"/>
                <w:lang w:val="en-US" w:eastAsia="zh-CN"/>
              </w:rPr>
            </w:pPr>
          </w:p>
          <w:p w14:paraId="4876DB41">
            <w:pPr>
              <w:rPr>
                <w:rFonts w:hint="eastAsia" w:ascii="仿宋" w:hAnsi="仿宋" w:eastAsia="仿宋" w:cs="仿宋"/>
                <w:lang w:val="en-US" w:eastAsia="zh-CN"/>
              </w:rPr>
            </w:pPr>
          </w:p>
          <w:p w14:paraId="6C2E02B3">
            <w:pPr>
              <w:rPr>
                <w:rFonts w:hint="eastAsia" w:ascii="仿宋" w:hAnsi="仿宋" w:eastAsia="仿宋" w:cs="仿宋"/>
                <w:lang w:val="en-US" w:eastAsia="zh-CN"/>
              </w:rPr>
            </w:pPr>
          </w:p>
          <w:p w14:paraId="5686D64B">
            <w:pPr>
              <w:rPr>
                <w:rFonts w:hint="eastAsia" w:ascii="仿宋" w:hAnsi="仿宋" w:eastAsia="仿宋" w:cs="仿宋"/>
                <w:lang w:val="en-US" w:eastAsia="zh-CN"/>
              </w:rPr>
            </w:pPr>
          </w:p>
          <w:p w14:paraId="46CCA9CC">
            <w:pPr>
              <w:rPr>
                <w:rFonts w:hint="eastAsia" w:ascii="仿宋" w:hAnsi="仿宋" w:eastAsia="仿宋" w:cs="仿宋"/>
                <w:lang w:val="en-US" w:eastAsia="zh-CN"/>
              </w:rPr>
            </w:pPr>
          </w:p>
          <w:p w14:paraId="5D5462A5">
            <w:pPr>
              <w:rPr>
                <w:rFonts w:hint="eastAsia" w:ascii="仿宋" w:hAnsi="仿宋" w:eastAsia="仿宋" w:cs="仿宋"/>
                <w:lang w:val="en-US" w:eastAsia="zh-CN"/>
              </w:rPr>
            </w:pPr>
          </w:p>
          <w:p w14:paraId="5460ABE3">
            <w:pPr>
              <w:rPr>
                <w:rFonts w:hint="eastAsia" w:ascii="仿宋" w:hAnsi="仿宋" w:eastAsia="仿宋" w:cs="仿宋"/>
                <w:lang w:val="en-US" w:eastAsia="zh-CN"/>
              </w:rPr>
            </w:pPr>
          </w:p>
          <w:p w14:paraId="55339DB0">
            <w:pPr>
              <w:rPr>
                <w:rFonts w:hint="eastAsia" w:ascii="仿宋" w:hAnsi="仿宋" w:eastAsia="仿宋" w:cs="仿宋"/>
                <w:lang w:val="en-US" w:eastAsia="zh-CN"/>
              </w:rPr>
            </w:pPr>
          </w:p>
          <w:p w14:paraId="0FC5CF41">
            <w:pPr>
              <w:rPr>
                <w:rFonts w:hint="eastAsia" w:ascii="仿宋" w:hAnsi="仿宋" w:eastAsia="仿宋" w:cs="仿宋"/>
                <w:lang w:val="en-US" w:eastAsia="zh-CN"/>
              </w:rPr>
            </w:pPr>
          </w:p>
          <w:p w14:paraId="0F982243">
            <w:pPr>
              <w:rPr>
                <w:rFonts w:hint="eastAsia" w:ascii="仿宋" w:hAnsi="仿宋" w:eastAsia="仿宋" w:cs="仿宋"/>
                <w:lang w:val="en-US" w:eastAsia="zh-CN"/>
              </w:rPr>
            </w:pPr>
          </w:p>
          <w:p w14:paraId="701C1727">
            <w:pPr>
              <w:rPr>
                <w:rFonts w:hint="eastAsia" w:ascii="仿宋" w:hAnsi="仿宋" w:eastAsia="仿宋" w:cs="仿宋"/>
                <w:lang w:val="en-US" w:eastAsia="zh-CN"/>
              </w:rPr>
            </w:pPr>
          </w:p>
        </w:tc>
      </w:tr>
      <w:tr w14:paraId="3AB35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4CD5668D">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阅读笔记</w:t>
            </w:r>
          </w:p>
        </w:tc>
      </w:tr>
      <w:tr w14:paraId="1FDBE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4" w:hRule="atLeast"/>
        </w:trPr>
        <w:tc>
          <w:tcPr>
            <w:tcW w:w="5000" w:type="pct"/>
            <w:gridSpan w:val="2"/>
          </w:tcPr>
          <w:p w14:paraId="714423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研究对象：</w:t>
              <w:br/>
              <w:t>主流媒体在新闻短视频话语转型过程中的公信力维护问题。</w:t>
              <w:br/>
              <w:br/>
              <w:t>研究目的：</w:t>
              <w:br/>
              <w:t>探讨主流媒体如何在适应短视频传播话语体系的同时坚守新闻公信力，寻求话语转型与公信力维护之间的平衡路径。</w:t>
              <w:br/>
              <w:br/>
              <w:t>研究方法、理论：</w:t>
              <w:br/>
              <w:t>1. 新闻专业主义理论：以新闻专业规范为标准审视话语转型。</w:t>
              <w:br/>
              <w:t>2. 媒体公信力理论：分析公信力的构成要素及维护机制。</w:t>
              <w:br/>
              <w:t>3. 话语分析：考察短视频话语与传统新闻话语的差异。</w:t>
              <w:br/>
              <w:br/>
              <w:t>研究过程（思路）：</w:t>
              <w:br/>
              <w:t>首先分析新闻短视频话语转型的表现：语态从正式到活泼、语体从书面到口语、内容从严肃到多元；</w:t>
              <w:br/>
              <w:t>其次考察话语转型对公信力的潜在影响：娱乐化倾向削弱权威感、情绪化表达影响客观性、碎片化叙事影响完整性；</w:t>
              <w:br/>
              <w:t>再次提出坚守公信力的路径：坚持事实核查、保持价值引导、平衡趣味与专业。</w:t>
              <w:br/>
              <w:br/>
              <w:t>主要观点及结论：</w:t>
              <w:br/>
              <w:t>1. 话语转型是必要的，但转型不等于降格，亲民化不等于娱乐化。</w:t>
              <w:br/>
              <w:t>2. 公信力的核心在于事实准确性、价值导向性和专业规范性，这三者不能因话语转型而动摇。</w:t>
              <w:br/>
              <w:t>3. 坚守公信力的路径：坚持事实第一原则、保持价值引领功能、创新而不逾越专业边界。</w:t>
              <w:br/>
              <w:t>4. 最佳状态是实现"形式创新+内容坚守"的有机统一。</w:t>
            </w:r>
          </w:p>
          <w:p w14:paraId="2BA0DB6C">
            <w:pPr>
              <w:rPr>
                <w:rFonts w:hint="eastAsia"/>
                <w:lang w:val="en-US" w:eastAsia="zh-CN"/>
              </w:rPr>
            </w:pPr>
          </w:p>
          <w:p w14:paraId="72AAD50B">
            <w:pPr>
              <w:rPr>
                <w:rFonts w:hint="eastAsia"/>
                <w:lang w:val="en-US" w:eastAsia="zh-CN"/>
              </w:rPr>
            </w:pPr>
          </w:p>
          <w:p w14:paraId="46A65BFE">
            <w:pPr>
              <w:rPr>
                <w:rFonts w:hint="eastAsia"/>
                <w:lang w:val="en-US" w:eastAsia="zh-CN"/>
              </w:rPr>
            </w:pPr>
          </w:p>
          <w:p w14:paraId="10863C26">
            <w:pPr>
              <w:rPr>
                <w:rFonts w:hint="eastAsia"/>
                <w:lang w:val="en-US" w:eastAsia="zh-CN"/>
              </w:rPr>
            </w:pPr>
          </w:p>
          <w:p w14:paraId="375F4DDD">
            <w:pPr>
              <w:rPr>
                <w:rFonts w:hint="eastAsia"/>
                <w:lang w:val="en-US" w:eastAsia="zh-CN"/>
              </w:rPr>
            </w:pPr>
          </w:p>
          <w:p w14:paraId="6940254B">
            <w:pPr>
              <w:rPr>
                <w:rFonts w:hint="eastAsia"/>
                <w:lang w:val="en-US" w:eastAsia="zh-CN"/>
              </w:rPr>
            </w:pPr>
          </w:p>
          <w:p w14:paraId="24467C23">
            <w:pPr>
              <w:rPr>
                <w:rFonts w:hint="eastAsia"/>
                <w:lang w:val="en-US" w:eastAsia="zh-CN"/>
              </w:rPr>
            </w:pPr>
          </w:p>
          <w:p w14:paraId="79C8F635">
            <w:pPr>
              <w:rPr>
                <w:rFonts w:hint="eastAsia"/>
                <w:lang w:val="en-US" w:eastAsia="zh-CN"/>
              </w:rPr>
            </w:pPr>
          </w:p>
          <w:p w14:paraId="6DC2BB8C">
            <w:pPr>
              <w:rPr>
                <w:rFonts w:hint="eastAsia"/>
                <w:lang w:val="en-US" w:eastAsia="zh-CN"/>
              </w:rPr>
            </w:pPr>
          </w:p>
          <w:p w14:paraId="7D865A5E">
            <w:pPr>
              <w:rPr>
                <w:rFonts w:hint="eastAsia"/>
                <w:lang w:val="en-US" w:eastAsia="zh-CN"/>
              </w:rPr>
            </w:pPr>
          </w:p>
          <w:p w14:paraId="2CC5F0CE">
            <w:pPr>
              <w:rPr>
                <w:rFonts w:hint="eastAsia"/>
                <w:lang w:val="en-US" w:eastAsia="zh-CN"/>
              </w:rPr>
            </w:pPr>
          </w:p>
          <w:p w14:paraId="27DBEFD9">
            <w:pPr>
              <w:rPr>
                <w:rFonts w:hint="eastAsia"/>
                <w:lang w:val="en-US" w:eastAsia="zh-CN"/>
              </w:rPr>
            </w:pPr>
          </w:p>
          <w:p w14:paraId="4F5B37A4">
            <w:pPr>
              <w:rPr>
                <w:rFonts w:hint="eastAsia"/>
                <w:lang w:val="en-US" w:eastAsia="zh-CN"/>
              </w:rPr>
            </w:pPr>
          </w:p>
          <w:p w14:paraId="6FD0F5A0">
            <w:pPr>
              <w:rPr>
                <w:rFonts w:hint="eastAsia"/>
                <w:lang w:val="en-US" w:eastAsia="zh-CN"/>
              </w:rPr>
            </w:pPr>
          </w:p>
          <w:p w14:paraId="3C2CF78D">
            <w:pPr>
              <w:rPr>
                <w:rFonts w:hint="eastAsia"/>
                <w:lang w:val="en-US" w:eastAsia="zh-CN"/>
              </w:rPr>
            </w:pPr>
          </w:p>
          <w:p w14:paraId="670B3ACE">
            <w:pPr>
              <w:rPr>
                <w:rFonts w:hint="eastAsia"/>
                <w:lang w:val="en-US" w:eastAsia="zh-CN"/>
              </w:rPr>
            </w:pPr>
          </w:p>
          <w:p w14:paraId="4E8ED0B2">
            <w:pPr>
              <w:rPr>
                <w:rFonts w:hint="eastAsia"/>
                <w:lang w:val="en-US" w:eastAsia="zh-CN"/>
              </w:rPr>
            </w:pPr>
          </w:p>
          <w:p w14:paraId="72FF17C1">
            <w:pPr>
              <w:rPr>
                <w:rFonts w:hint="eastAsia"/>
                <w:lang w:val="en-US" w:eastAsia="zh-CN"/>
              </w:rPr>
            </w:pPr>
          </w:p>
          <w:p w14:paraId="03F13B6D">
            <w:pPr>
              <w:rPr>
                <w:rFonts w:hint="eastAsia"/>
                <w:lang w:val="en-US" w:eastAsia="zh-CN"/>
              </w:rPr>
            </w:pPr>
          </w:p>
          <w:p w14:paraId="052ABA68">
            <w:pPr>
              <w:rPr>
                <w:rFonts w:hint="eastAsia"/>
                <w:lang w:val="en-US" w:eastAsia="zh-CN"/>
              </w:rPr>
            </w:pPr>
          </w:p>
          <w:p w14:paraId="2CB10099">
            <w:pPr>
              <w:rPr>
                <w:rFonts w:hint="eastAsia"/>
                <w:lang w:val="en-US" w:eastAsia="zh-CN"/>
              </w:rPr>
            </w:pPr>
          </w:p>
          <w:p w14:paraId="58D0C27E">
            <w:pPr>
              <w:rPr>
                <w:rFonts w:hint="eastAsia"/>
                <w:lang w:val="en-US" w:eastAsia="zh-CN"/>
              </w:rPr>
            </w:pPr>
          </w:p>
          <w:p w14:paraId="35AC5943">
            <w:pPr>
              <w:rPr>
                <w:rFonts w:hint="eastAsia"/>
                <w:lang w:val="en-US" w:eastAsia="zh-CN"/>
              </w:rPr>
            </w:pPr>
          </w:p>
          <w:p w14:paraId="685A2469">
            <w:pPr>
              <w:rPr>
                <w:rFonts w:hint="eastAsia"/>
                <w:lang w:val="en-US" w:eastAsia="zh-CN"/>
              </w:rPr>
            </w:pPr>
          </w:p>
          <w:p w14:paraId="2CA378ED">
            <w:pPr>
              <w:rPr>
                <w:rFonts w:hint="eastAsia"/>
                <w:lang w:val="en-US" w:eastAsia="zh-CN"/>
              </w:rPr>
            </w:pPr>
          </w:p>
          <w:p w14:paraId="6A7FD242">
            <w:pPr>
              <w:rPr>
                <w:rFonts w:hint="eastAsia"/>
                <w:lang w:val="en-US" w:eastAsia="zh-CN"/>
              </w:rPr>
            </w:pPr>
          </w:p>
          <w:p w14:paraId="755B4B7A">
            <w:pPr>
              <w:rPr>
                <w:rFonts w:hint="eastAsia"/>
                <w:lang w:val="en-US" w:eastAsia="zh-CN"/>
              </w:rPr>
            </w:pPr>
          </w:p>
          <w:p w14:paraId="47CD002D">
            <w:pPr>
              <w:rPr>
                <w:rFonts w:hint="eastAsia"/>
                <w:lang w:val="en-US" w:eastAsia="zh-CN"/>
              </w:rPr>
            </w:pPr>
          </w:p>
          <w:p w14:paraId="258AF05F">
            <w:pPr>
              <w:rPr>
                <w:rFonts w:hint="eastAsia"/>
                <w:lang w:val="en-US" w:eastAsia="zh-CN"/>
              </w:rPr>
            </w:pPr>
          </w:p>
          <w:p w14:paraId="477D0E07">
            <w:pPr>
              <w:rPr>
                <w:rFonts w:hint="eastAsia"/>
                <w:lang w:val="en-US" w:eastAsia="zh-CN"/>
              </w:rPr>
            </w:pPr>
          </w:p>
          <w:p w14:paraId="0A7A08BF">
            <w:pPr>
              <w:rPr>
                <w:rFonts w:hint="eastAsia"/>
                <w:lang w:val="en-US" w:eastAsia="zh-CN"/>
              </w:rPr>
            </w:pPr>
          </w:p>
          <w:p w14:paraId="3880C984">
            <w:pPr>
              <w:rPr>
                <w:rFonts w:hint="eastAsia" w:ascii="仿宋" w:hAnsi="仿宋" w:eastAsia="仿宋" w:cs="仿宋"/>
                <w:sz w:val="28"/>
                <w:szCs w:val="28"/>
                <w:lang w:val="en-US" w:eastAsia="zh-CN"/>
              </w:rPr>
            </w:pPr>
          </w:p>
        </w:tc>
      </w:tr>
      <w:tr w14:paraId="094A8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5000" w:type="pct"/>
            <w:gridSpan w:val="2"/>
          </w:tcPr>
          <w:p w14:paraId="60549445">
            <w:pPr>
              <w:jc w:val="center"/>
              <w:rPr>
                <w:rFonts w:hint="default" w:ascii="仿宋" w:hAnsi="仿宋" w:eastAsia="仿宋" w:cs="仿宋"/>
                <w:sz w:val="28"/>
                <w:szCs w:val="28"/>
                <w:lang w:val="en-US" w:eastAsia="zh-CN"/>
              </w:rPr>
            </w:pPr>
            <w:r>
              <w:rPr>
                <w:rFonts w:hint="eastAsia" w:ascii="黑体" w:hAnsi="黑体" w:eastAsia="黑体" w:cs="黑体"/>
                <w:b w:val="0"/>
                <w:bCs w:val="0"/>
                <w:sz w:val="28"/>
                <w:szCs w:val="28"/>
                <w:lang w:val="en-US" w:eastAsia="zh-CN"/>
              </w:rPr>
              <w:t>简要述评</w:t>
            </w:r>
          </w:p>
        </w:tc>
      </w:tr>
      <w:tr w14:paraId="718C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4" w:hRule="atLeast"/>
        </w:trPr>
        <w:tc>
          <w:tcPr>
            <w:tcW w:w="5000" w:type="pct"/>
            <w:gridSpan w:val="2"/>
          </w:tcPr>
          <w:p w14:paraId="790BE8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文献创新性：</w:t>
              <w:br/>
              <w:t>从公信力维护角度反思短视频话语转型，具有批判性视角，提出了重要的规范性命题。</w:t>
              <w:br/>
              <w:br/>
              <w:t>对本人选题的价值和借鉴意义：</w:t>
              <w:br/>
              <w:t>提供了审视短视频新闻叙事的批判性视角——叙事创新应有边界，公信力是主流媒体叙事创新的底线约束。</w:t>
              <w:br/>
              <w:br/>
              <w:t>阅读后收获：</w:t>
              <w:br/>
              <w:t>理解了主流媒体短视频新闻叙事面临的核心张力：在适应平台逻辑与坚守专业逻辑之间寻求平衡。</w:t>
            </w:r>
          </w:p>
          <w:p w14:paraId="3F8012AA">
            <w:pPr>
              <w:rPr>
                <w:rFonts w:hint="eastAsia"/>
                <w:lang w:val="en-US" w:eastAsia="zh-CN"/>
              </w:rPr>
            </w:pPr>
          </w:p>
          <w:p w14:paraId="0455EAC4">
            <w:pPr>
              <w:rPr>
                <w:rFonts w:hint="eastAsia"/>
                <w:lang w:val="en-US" w:eastAsia="zh-CN"/>
              </w:rPr>
            </w:pPr>
          </w:p>
          <w:p w14:paraId="2925449C">
            <w:pPr>
              <w:rPr>
                <w:rFonts w:hint="eastAsia"/>
                <w:lang w:val="en-US" w:eastAsia="zh-CN"/>
              </w:rPr>
            </w:pPr>
          </w:p>
          <w:p w14:paraId="2D528860">
            <w:pPr>
              <w:rPr>
                <w:rFonts w:hint="eastAsia"/>
                <w:lang w:val="en-US" w:eastAsia="zh-CN"/>
              </w:rPr>
            </w:pPr>
          </w:p>
          <w:p w14:paraId="6B9F41BC">
            <w:pPr>
              <w:rPr>
                <w:rFonts w:hint="eastAsia"/>
                <w:lang w:val="en-US" w:eastAsia="zh-CN"/>
              </w:rPr>
            </w:pPr>
          </w:p>
          <w:p w14:paraId="2356C3CC">
            <w:pPr>
              <w:rPr>
                <w:rFonts w:hint="eastAsia"/>
                <w:lang w:val="en-US" w:eastAsia="zh-CN"/>
              </w:rPr>
            </w:pPr>
          </w:p>
          <w:p w14:paraId="32C1A50E">
            <w:pPr>
              <w:rPr>
                <w:rFonts w:hint="eastAsia"/>
                <w:lang w:val="en-US" w:eastAsia="zh-CN"/>
              </w:rPr>
            </w:pPr>
          </w:p>
          <w:p w14:paraId="2F7F25E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5734D">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10A95">
    <w:pPr>
      <w:pStyle w:val="3"/>
      <w:jc w:val="center"/>
      <w:rPr>
        <w:rFonts w:hint="eastAsia" w:eastAsiaTheme="minorEastAsia"/>
        <w:lang w:eastAsia="zh-CN"/>
      </w:rPr>
    </w:pPr>
    <w:r>
      <w:rPr>
        <w:rFonts w:hint="eastAsia" w:eastAsiaTheme="minorEastAsia"/>
        <w:lang w:eastAsia="zh-CN"/>
      </w:rPr>
      <w:drawing>
        <wp:inline distT="0" distB="0" distL="114300" distR="114300">
          <wp:extent cx="1792605" cy="311150"/>
          <wp:effectExtent l="0" t="0" r="0" b="10160"/>
          <wp:docPr id="1" name="图片 1" descr="河北环境工程学院-校名和校徽-18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河北环境工程学院-校名和校徽-18 - 副本"/>
                  <pic:cNvPicPr>
                    <a:picLocks noChangeAspect="1"/>
                  </pic:cNvPicPr>
                </pic:nvPicPr>
                <pic:blipFill>
                  <a:blip r:embed="rId1"/>
                  <a:stretch>
                    <a:fillRect/>
                  </a:stretch>
                </pic:blipFill>
                <pic:spPr>
                  <a:xfrm>
                    <a:off x="0" y="0"/>
                    <a:ext cx="1792605" cy="3111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0948E9"/>
    <w:rsid w:val="190E6095"/>
    <w:rsid w:val="1F7560A3"/>
    <w:rsid w:val="260F62B9"/>
    <w:rsid w:val="3FB23A75"/>
    <w:rsid w:val="7F923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1118</Words>
  <Characters>1152</Characters>
  <Lines>0</Lines>
  <Paragraphs>0</Paragraphs>
  <TotalTime>15</TotalTime>
  <ScaleCrop>false</ScaleCrop>
  <LinksUpToDate>false</LinksUpToDate>
  <CharactersWithSpaces>1429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2021-09-30T12:10:00Z</dcterms:created>
  <dc:creator>Administrator</dc:creator>
  <cp:lastModifiedBy>葛涵</cp:lastModifiedBy>
  <cp:lastPrinted>2021-09-30T12:36:00Z</cp:lastPrinted>
  <dcterms:modified xsi:type="dcterms:W3CDTF">2026-03-17T07:54:00Z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460668179E054C79B5C1DF2B598A4EF7_13</vt:lpwstr>
  </property>
</Properties>
</file>