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74A3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720" w:lineRule="auto"/>
        <w:jc w:val="center"/>
        <w:textAlignment w:val="auto"/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</w:pPr>
      <w:bookmarkStart w:id="0" w:name="_GoBack"/>
      <w:bookmarkEnd w:id="0"/>
      <w:r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  <w:t>文献阅读笔记</w:t>
      </w:r>
    </w:p>
    <w:p w14:paraId="30F986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学生姓名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： </w:t>
      </w:r>
      <w:r>
        <w:rPr>
          <w:rFonts w:hint="eastAsia" w:ascii="仿宋" w:hAnsi="仿宋" w:eastAsia="仿宋" w:cs="仿宋"/>
          <w:sz w:val="24"/>
          <w:szCs w:val="24"/>
          <w:u w:val="single"/>
          <w:lang w:val="en-US" w:eastAsia="zh-CN"/>
        </w:rPr>
        <w:t xml:space="preserve">                        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    </w:t>
      </w: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学    号：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</w:t>
      </w:r>
      <w:r>
        <w:rPr>
          <w:rFonts w:hint="eastAsia" w:ascii="仿宋" w:hAnsi="仿宋" w:eastAsia="仿宋" w:cs="仿宋"/>
          <w:sz w:val="24"/>
          <w:szCs w:val="24"/>
          <w:u w:val="single"/>
          <w:lang w:val="en-US" w:eastAsia="zh-CN"/>
        </w:rPr>
        <w:t xml:space="preserve">                       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</w:t>
      </w:r>
    </w:p>
    <w:p w14:paraId="50EF82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专业班级：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</w:t>
      </w:r>
      <w:r>
        <w:rPr>
          <w:rFonts w:hint="eastAsia" w:ascii="仿宋" w:hAnsi="仿宋" w:eastAsia="仿宋" w:cs="仿宋"/>
          <w:sz w:val="24"/>
          <w:szCs w:val="24"/>
          <w:u w:val="single"/>
          <w:lang w:val="en-US" w:eastAsia="zh-CN"/>
        </w:rPr>
        <w:t xml:space="preserve">                        </w:t>
      </w:r>
      <w:r>
        <w:rPr>
          <w:rFonts w:hint="eastAsia" w:ascii="仿宋" w:hAnsi="仿宋" w:eastAsia="仿宋" w:cs="仿宋"/>
          <w:sz w:val="24"/>
          <w:szCs w:val="24"/>
          <w:u w:val="none"/>
          <w:lang w:val="en-US" w:eastAsia="zh-CN"/>
        </w:rPr>
        <w:t xml:space="preserve">     </w:t>
      </w: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指导教师：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</w:t>
      </w:r>
      <w:r>
        <w:rPr>
          <w:rFonts w:hint="eastAsia" w:ascii="仿宋" w:hAnsi="仿宋" w:eastAsia="仿宋" w:cs="仿宋"/>
          <w:sz w:val="24"/>
          <w:szCs w:val="24"/>
          <w:u w:val="single"/>
          <w:lang w:val="en-US" w:eastAsia="zh-CN"/>
        </w:rPr>
        <w:t xml:space="preserve">                       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</w:t>
      </w:r>
    </w:p>
    <w:p w14:paraId="12FBDC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毕业论文题目：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</w:t>
      </w:r>
      <w:r>
        <w:rPr>
          <w:rFonts w:hint="eastAsia" w:ascii="仿宋" w:hAnsi="仿宋" w:eastAsia="仿宋" w:cs="仿宋"/>
          <w:sz w:val="24"/>
          <w:szCs w:val="24"/>
          <w:u w:val="single"/>
          <w:lang w:val="en-US" w:eastAsia="zh-CN"/>
        </w:rPr>
        <w:t xml:space="preserve">                                                            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</w:t>
      </w:r>
    </w:p>
    <w:tbl>
      <w:tblPr>
        <w:tblStyle w:val="5"/>
        <w:tblW w:w="4903" w:type="pct"/>
        <w:tblInd w:w="10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6"/>
        <w:gridCol w:w="8101"/>
      </w:tblGrid>
      <w:tr w14:paraId="209344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4" w:type="pct"/>
          </w:tcPr>
          <w:p w14:paraId="1DCBCDC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8"/>
                <w:szCs w:val="28"/>
                <w:lang w:val="en-US" w:eastAsia="zh-CN"/>
              </w:rPr>
              <w:t>文献标题</w:t>
            </w:r>
          </w:p>
        </w:tc>
        <w:tc>
          <w:tcPr>
            <w:tcW w:w="4215" w:type="pct"/>
          </w:tcPr>
          <w:p w14:paraId="332A560C">
            <w:pP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t>新型主流媒体移动短视频新闻叙事研究</w:t>
            </w:r>
          </w:p>
        </w:tc>
      </w:tr>
      <w:tr w14:paraId="6DDC8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4" w:type="pct"/>
          </w:tcPr>
          <w:p w14:paraId="54A0E4B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8"/>
                <w:szCs w:val="28"/>
                <w:lang w:val="en-US" w:eastAsia="zh-CN"/>
              </w:rPr>
              <w:t>文献来源</w:t>
            </w:r>
          </w:p>
        </w:tc>
        <w:tc>
          <w:tcPr>
            <w:tcW w:w="4215" w:type="pct"/>
          </w:tcPr>
          <w:p w14:paraId="5A36FBD4">
            <w:pP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t>山西大学，2024年硕士学位论文</w:t>
            </w:r>
          </w:p>
        </w:tc>
      </w:tr>
      <w:tr w14:paraId="31F3F2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4" w:type="pct"/>
          </w:tcPr>
          <w:p w14:paraId="6D682FB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8"/>
                <w:szCs w:val="28"/>
                <w:lang w:val="en-US" w:eastAsia="zh-CN"/>
              </w:rPr>
              <w:t>文献作者</w:t>
            </w:r>
          </w:p>
        </w:tc>
        <w:tc>
          <w:tcPr>
            <w:tcW w:w="4215" w:type="pct"/>
          </w:tcPr>
          <w:p w14:paraId="29A3E50C">
            <w:pP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t>张宏伟</w:t>
            </w:r>
          </w:p>
        </w:tc>
      </w:tr>
      <w:tr w14:paraId="7F0293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4" w:type="pct"/>
          </w:tcPr>
          <w:p w14:paraId="79B0D35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8"/>
                <w:szCs w:val="28"/>
                <w:lang w:val="en-US" w:eastAsia="zh-CN"/>
              </w:rPr>
              <w:t>刊物级别</w:t>
            </w:r>
          </w:p>
        </w:tc>
        <w:tc>
          <w:tcPr>
            <w:tcW w:w="4215" w:type="pct"/>
          </w:tcPr>
          <w:p w14:paraId="2DDDCE8A">
            <w:pPr>
              <w:ind w:firstLine="1120" w:firstLineChars="400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t>□核心期刊             □普通期刊</w:t>
              <w:br/>
              <w:t>☑硕士学位论文</w:t>
            </w:r>
          </w:p>
        </w:tc>
      </w:tr>
      <w:tr w14:paraId="369E7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2"/>
          </w:tcPr>
          <w:p w14:paraId="222A32BC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  <w:lang w:val="en-US" w:eastAsia="zh-CN"/>
              </w:rPr>
              <w:t>文献摘要</w:t>
            </w:r>
          </w:p>
        </w:tc>
      </w:tr>
      <w:tr w14:paraId="0FAA0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000" w:type="pct"/>
            <w:gridSpan w:val="2"/>
          </w:tcPr>
          <w:p w14:paraId="399F10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t>摘要：随着移动互联网和智能终端的普及，移动短视频成为新型主流媒体新闻传播的重要形式。本文以新型主流媒体为研究对象，系统考察其移动短视频新闻的叙事特征，从叙事主题、叙事结构、叙事话语、叙事视角等维度展开分析，探讨移动短视频新闻叙事的内在规律与创新路径，为新型主流媒体短视频新闻的叙事优化提供理论支持。</w:t>
              <w:br/>
              <w:br/>
              <w:t>关键词：新型主流媒体；移动短视频；新闻叙事；叙事学</w:t>
            </w:r>
          </w:p>
          <w:p w14:paraId="14EA2450">
            <w:pPr>
              <w:rPr>
                <w:rFonts w:hint="eastAsia" w:ascii="仿宋" w:hAnsi="仿宋" w:eastAsia="仿宋" w:cs="仿宋"/>
                <w:lang w:val="en-US" w:eastAsia="zh-CN"/>
              </w:rPr>
            </w:pPr>
          </w:p>
          <w:p w14:paraId="4876DB41">
            <w:pPr>
              <w:rPr>
                <w:rFonts w:hint="eastAsia" w:ascii="仿宋" w:hAnsi="仿宋" w:eastAsia="仿宋" w:cs="仿宋"/>
                <w:lang w:val="en-US" w:eastAsia="zh-CN"/>
              </w:rPr>
            </w:pPr>
          </w:p>
          <w:p w14:paraId="6C2E02B3">
            <w:pPr>
              <w:rPr>
                <w:rFonts w:hint="eastAsia" w:ascii="仿宋" w:hAnsi="仿宋" w:eastAsia="仿宋" w:cs="仿宋"/>
                <w:lang w:val="en-US" w:eastAsia="zh-CN"/>
              </w:rPr>
            </w:pPr>
          </w:p>
          <w:p w14:paraId="5686D64B">
            <w:pPr>
              <w:rPr>
                <w:rFonts w:hint="eastAsia" w:ascii="仿宋" w:hAnsi="仿宋" w:eastAsia="仿宋" w:cs="仿宋"/>
                <w:lang w:val="en-US" w:eastAsia="zh-CN"/>
              </w:rPr>
            </w:pPr>
          </w:p>
          <w:p w14:paraId="46CCA9CC">
            <w:pPr>
              <w:rPr>
                <w:rFonts w:hint="eastAsia" w:ascii="仿宋" w:hAnsi="仿宋" w:eastAsia="仿宋" w:cs="仿宋"/>
                <w:lang w:val="en-US" w:eastAsia="zh-CN"/>
              </w:rPr>
            </w:pPr>
          </w:p>
          <w:p w14:paraId="5D5462A5">
            <w:pPr>
              <w:rPr>
                <w:rFonts w:hint="eastAsia" w:ascii="仿宋" w:hAnsi="仿宋" w:eastAsia="仿宋" w:cs="仿宋"/>
                <w:lang w:val="en-US" w:eastAsia="zh-CN"/>
              </w:rPr>
            </w:pPr>
          </w:p>
          <w:p w14:paraId="5460ABE3">
            <w:pPr>
              <w:rPr>
                <w:rFonts w:hint="eastAsia" w:ascii="仿宋" w:hAnsi="仿宋" w:eastAsia="仿宋" w:cs="仿宋"/>
                <w:lang w:val="en-US" w:eastAsia="zh-CN"/>
              </w:rPr>
            </w:pPr>
          </w:p>
          <w:p w14:paraId="55339DB0">
            <w:pPr>
              <w:rPr>
                <w:rFonts w:hint="eastAsia" w:ascii="仿宋" w:hAnsi="仿宋" w:eastAsia="仿宋" w:cs="仿宋"/>
                <w:lang w:val="en-US" w:eastAsia="zh-CN"/>
              </w:rPr>
            </w:pPr>
          </w:p>
          <w:p w14:paraId="0FC5CF41">
            <w:pPr>
              <w:rPr>
                <w:rFonts w:hint="eastAsia" w:ascii="仿宋" w:hAnsi="仿宋" w:eastAsia="仿宋" w:cs="仿宋"/>
                <w:lang w:val="en-US" w:eastAsia="zh-CN"/>
              </w:rPr>
            </w:pPr>
          </w:p>
          <w:p w14:paraId="0F982243">
            <w:pPr>
              <w:rPr>
                <w:rFonts w:hint="eastAsia" w:ascii="仿宋" w:hAnsi="仿宋" w:eastAsia="仿宋" w:cs="仿宋"/>
                <w:lang w:val="en-US" w:eastAsia="zh-CN"/>
              </w:rPr>
            </w:pPr>
          </w:p>
          <w:p w14:paraId="701C1727">
            <w:pPr>
              <w:rPr>
                <w:rFonts w:hint="eastAsia" w:ascii="仿宋" w:hAnsi="仿宋" w:eastAsia="仿宋" w:cs="仿宋"/>
                <w:lang w:val="en-US" w:eastAsia="zh-CN"/>
              </w:rPr>
            </w:pPr>
          </w:p>
        </w:tc>
      </w:tr>
      <w:tr w14:paraId="3AB354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2"/>
          </w:tcPr>
          <w:p w14:paraId="4CD5668D"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8"/>
                <w:szCs w:val="28"/>
                <w:lang w:val="en-US" w:eastAsia="zh-CN"/>
              </w:rPr>
              <w:t>阅读笔记</w:t>
            </w:r>
          </w:p>
        </w:tc>
      </w:tr>
      <w:tr w14:paraId="1FDBE3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4" w:hRule="atLeast"/>
        </w:trPr>
        <w:tc>
          <w:tcPr>
            <w:tcW w:w="5000" w:type="pct"/>
            <w:gridSpan w:val="2"/>
          </w:tcPr>
          <w:p w14:paraId="714423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t>研究对象：</w:t>
              <w:br/>
              <w:t>新型主流媒体（如人民日报、新华社、央视新闻等）在移动短视频平台上发布的新闻内容，重点考察其叙事特征与规律。</w:t>
              <w:br/>
              <w:br/>
              <w:t>研究目的：</w:t>
              <w:br/>
              <w:t>系统研究新型主流媒体移动短视频新闻的叙事特征，构建短视频新闻叙事的分析框架，揭示其叙事规律，为短视频新闻叙事的优化提供理论参考。</w:t>
              <w:br/>
              <w:br/>
              <w:t>研究方法、理论：</w:t>
              <w:br/>
              <w:t>1. 叙事学理论：运用经典叙事学和后经典叙事学的相关概念与分析工具。</w:t>
              <w:br/>
              <w:t>2. 内容分析法：对大量短视频新闻样本进行系统编码与量化分析。</w:t>
              <w:br/>
              <w:t>3. 文本分析法：对典型案例进行深入的叙事文本解读。</w:t>
              <w:br/>
              <w:t>4. 比较研究法：比较不同媒体、不同类型短视频新闻的叙事差异。</w:t>
              <w:br/>
              <w:br/>
              <w:t>研究过程（思路）：</w:t>
              <w:br/>
              <w:t>第一，梳理短视频新闻叙事的理论基础，包括叙事学理论的发展及其在新闻领域的应用；</w:t>
              <w:br/>
              <w:t>第二，从叙事主题入手，分析短视频新闻的选题偏好和议题建构方式；</w:t>
              <w:br/>
              <w:t>第三，考察叙事结构，包括时间结构（线性/非线性）、空间结构等；</w:t>
              <w:br/>
              <w:t>第四，分析叙事话语特征，包括视觉话语、听觉话语、文字话语的协同运用；</w:t>
              <w:br/>
              <w:t>第五，探讨叙事视角的选择与转换（全知视角、限知视角、第一人称等）；</w:t>
              <w:br/>
              <w:t>第六，总结问题并提出优化策略。</w:t>
              <w:br/>
              <w:br/>
              <w:t>主要观点及结论：</w:t>
              <w:br/>
              <w:t>1. 新型主流媒体移动短视频新闻叙事呈现主题多元化、结构紧凑化、话语视听化、视角平民化等特征。</w:t>
              <w:br/>
              <w:t>2. 在叙事结构上，多采用"开门见山"式的线性叙事，注重前3秒的信息密度以留住观众。</w:t>
              <w:br/>
              <w:t>3. 在叙事话语上，视听符号成为核心叙事手段，画面、声音、字幕形成多模态叙事系统。</w:t>
              <w:br/>
              <w:t>4. 存在的问题包括叙事深度不足、同质化倾向、过度情绪化等。</w:t>
              <w:br/>
              <w:t>5. 建议从加强深度叙事、创新叙事手法、平衡理性与情感等方面进行优化。</w:t>
            </w:r>
          </w:p>
          <w:p w14:paraId="2BA0DB6C">
            <w:pPr>
              <w:rPr>
                <w:rFonts w:hint="eastAsia"/>
                <w:lang w:val="en-US" w:eastAsia="zh-CN"/>
              </w:rPr>
            </w:pPr>
          </w:p>
          <w:p w14:paraId="72AAD50B">
            <w:pPr>
              <w:rPr>
                <w:rFonts w:hint="eastAsia"/>
                <w:lang w:val="en-US" w:eastAsia="zh-CN"/>
              </w:rPr>
            </w:pPr>
          </w:p>
          <w:p w14:paraId="46A65BFE">
            <w:pPr>
              <w:rPr>
                <w:rFonts w:hint="eastAsia"/>
                <w:lang w:val="en-US" w:eastAsia="zh-CN"/>
              </w:rPr>
            </w:pPr>
          </w:p>
          <w:p w14:paraId="10863C26">
            <w:pPr>
              <w:rPr>
                <w:rFonts w:hint="eastAsia"/>
                <w:lang w:val="en-US" w:eastAsia="zh-CN"/>
              </w:rPr>
            </w:pPr>
          </w:p>
          <w:p w14:paraId="375F4DDD">
            <w:pPr>
              <w:rPr>
                <w:rFonts w:hint="eastAsia"/>
                <w:lang w:val="en-US" w:eastAsia="zh-CN"/>
              </w:rPr>
            </w:pPr>
          </w:p>
          <w:p w14:paraId="6940254B">
            <w:pPr>
              <w:rPr>
                <w:rFonts w:hint="eastAsia"/>
                <w:lang w:val="en-US" w:eastAsia="zh-CN"/>
              </w:rPr>
            </w:pPr>
          </w:p>
          <w:p w14:paraId="24467C23">
            <w:pPr>
              <w:rPr>
                <w:rFonts w:hint="eastAsia"/>
                <w:lang w:val="en-US" w:eastAsia="zh-CN"/>
              </w:rPr>
            </w:pPr>
          </w:p>
          <w:p w14:paraId="79C8F635">
            <w:pPr>
              <w:rPr>
                <w:rFonts w:hint="eastAsia"/>
                <w:lang w:val="en-US" w:eastAsia="zh-CN"/>
              </w:rPr>
            </w:pPr>
          </w:p>
          <w:p w14:paraId="6DC2BB8C">
            <w:pPr>
              <w:rPr>
                <w:rFonts w:hint="eastAsia"/>
                <w:lang w:val="en-US" w:eastAsia="zh-CN"/>
              </w:rPr>
            </w:pPr>
          </w:p>
          <w:p w14:paraId="7D865A5E">
            <w:pPr>
              <w:rPr>
                <w:rFonts w:hint="eastAsia"/>
                <w:lang w:val="en-US" w:eastAsia="zh-CN"/>
              </w:rPr>
            </w:pPr>
          </w:p>
          <w:p w14:paraId="2CC5F0CE">
            <w:pPr>
              <w:rPr>
                <w:rFonts w:hint="eastAsia"/>
                <w:lang w:val="en-US" w:eastAsia="zh-CN"/>
              </w:rPr>
            </w:pPr>
          </w:p>
          <w:p w14:paraId="27DBEFD9">
            <w:pPr>
              <w:rPr>
                <w:rFonts w:hint="eastAsia"/>
                <w:lang w:val="en-US" w:eastAsia="zh-CN"/>
              </w:rPr>
            </w:pPr>
          </w:p>
          <w:p w14:paraId="4F5B37A4">
            <w:pPr>
              <w:rPr>
                <w:rFonts w:hint="eastAsia"/>
                <w:lang w:val="en-US" w:eastAsia="zh-CN"/>
              </w:rPr>
            </w:pPr>
          </w:p>
          <w:p w14:paraId="6FD0F5A0">
            <w:pPr>
              <w:rPr>
                <w:rFonts w:hint="eastAsia"/>
                <w:lang w:val="en-US" w:eastAsia="zh-CN"/>
              </w:rPr>
            </w:pPr>
          </w:p>
          <w:p w14:paraId="3C2CF78D">
            <w:pPr>
              <w:rPr>
                <w:rFonts w:hint="eastAsia"/>
                <w:lang w:val="en-US" w:eastAsia="zh-CN"/>
              </w:rPr>
            </w:pPr>
          </w:p>
          <w:p w14:paraId="670B3ACE">
            <w:pPr>
              <w:rPr>
                <w:rFonts w:hint="eastAsia"/>
                <w:lang w:val="en-US" w:eastAsia="zh-CN"/>
              </w:rPr>
            </w:pPr>
          </w:p>
          <w:p w14:paraId="4E8ED0B2">
            <w:pPr>
              <w:rPr>
                <w:rFonts w:hint="eastAsia"/>
                <w:lang w:val="en-US" w:eastAsia="zh-CN"/>
              </w:rPr>
            </w:pPr>
          </w:p>
          <w:p w14:paraId="72FF17C1">
            <w:pPr>
              <w:rPr>
                <w:rFonts w:hint="eastAsia"/>
                <w:lang w:val="en-US" w:eastAsia="zh-CN"/>
              </w:rPr>
            </w:pPr>
          </w:p>
          <w:p w14:paraId="03F13B6D">
            <w:pPr>
              <w:rPr>
                <w:rFonts w:hint="eastAsia"/>
                <w:lang w:val="en-US" w:eastAsia="zh-CN"/>
              </w:rPr>
            </w:pPr>
          </w:p>
          <w:p w14:paraId="052ABA68">
            <w:pPr>
              <w:rPr>
                <w:rFonts w:hint="eastAsia"/>
                <w:lang w:val="en-US" w:eastAsia="zh-CN"/>
              </w:rPr>
            </w:pPr>
          </w:p>
          <w:p w14:paraId="2CB10099">
            <w:pPr>
              <w:rPr>
                <w:rFonts w:hint="eastAsia"/>
                <w:lang w:val="en-US" w:eastAsia="zh-CN"/>
              </w:rPr>
            </w:pPr>
          </w:p>
          <w:p w14:paraId="58D0C27E">
            <w:pPr>
              <w:rPr>
                <w:rFonts w:hint="eastAsia"/>
                <w:lang w:val="en-US" w:eastAsia="zh-CN"/>
              </w:rPr>
            </w:pPr>
          </w:p>
          <w:p w14:paraId="35AC5943">
            <w:pPr>
              <w:rPr>
                <w:rFonts w:hint="eastAsia"/>
                <w:lang w:val="en-US" w:eastAsia="zh-CN"/>
              </w:rPr>
            </w:pPr>
          </w:p>
          <w:p w14:paraId="685A2469">
            <w:pPr>
              <w:rPr>
                <w:rFonts w:hint="eastAsia"/>
                <w:lang w:val="en-US" w:eastAsia="zh-CN"/>
              </w:rPr>
            </w:pPr>
          </w:p>
          <w:p w14:paraId="2CA378ED">
            <w:pPr>
              <w:rPr>
                <w:rFonts w:hint="eastAsia"/>
                <w:lang w:val="en-US" w:eastAsia="zh-CN"/>
              </w:rPr>
            </w:pPr>
          </w:p>
          <w:p w14:paraId="6A7FD242">
            <w:pPr>
              <w:rPr>
                <w:rFonts w:hint="eastAsia"/>
                <w:lang w:val="en-US" w:eastAsia="zh-CN"/>
              </w:rPr>
            </w:pPr>
          </w:p>
          <w:p w14:paraId="755B4B7A">
            <w:pPr>
              <w:rPr>
                <w:rFonts w:hint="eastAsia"/>
                <w:lang w:val="en-US" w:eastAsia="zh-CN"/>
              </w:rPr>
            </w:pPr>
          </w:p>
          <w:p w14:paraId="47CD002D">
            <w:pPr>
              <w:rPr>
                <w:rFonts w:hint="eastAsia"/>
                <w:lang w:val="en-US" w:eastAsia="zh-CN"/>
              </w:rPr>
            </w:pPr>
          </w:p>
          <w:p w14:paraId="258AF05F">
            <w:pPr>
              <w:rPr>
                <w:rFonts w:hint="eastAsia"/>
                <w:lang w:val="en-US" w:eastAsia="zh-CN"/>
              </w:rPr>
            </w:pPr>
          </w:p>
          <w:p w14:paraId="477D0E07">
            <w:pPr>
              <w:rPr>
                <w:rFonts w:hint="eastAsia"/>
                <w:lang w:val="en-US" w:eastAsia="zh-CN"/>
              </w:rPr>
            </w:pPr>
          </w:p>
          <w:p w14:paraId="0A7A08BF">
            <w:pPr>
              <w:rPr>
                <w:rFonts w:hint="eastAsia"/>
                <w:lang w:val="en-US" w:eastAsia="zh-CN"/>
              </w:rPr>
            </w:pPr>
          </w:p>
          <w:p w14:paraId="3880C984">
            <w:pP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</w:pPr>
          </w:p>
        </w:tc>
      </w:tr>
      <w:tr w14:paraId="094A8E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2" w:hRule="atLeast"/>
        </w:trPr>
        <w:tc>
          <w:tcPr>
            <w:tcW w:w="5000" w:type="pct"/>
            <w:gridSpan w:val="2"/>
          </w:tcPr>
          <w:p w14:paraId="60549445">
            <w:pPr>
              <w:jc w:val="center"/>
              <w:rPr>
                <w:rFonts w:hint="default" w:ascii="仿宋" w:hAnsi="仿宋" w:eastAsia="仿宋" w:cs="仿宋"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8"/>
                <w:szCs w:val="28"/>
                <w:lang w:val="en-US" w:eastAsia="zh-CN"/>
              </w:rPr>
              <w:t>简要述评</w:t>
            </w:r>
          </w:p>
        </w:tc>
      </w:tr>
      <w:tr w14:paraId="718C18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4" w:hRule="atLeast"/>
        </w:trPr>
        <w:tc>
          <w:tcPr>
            <w:tcW w:w="5000" w:type="pct"/>
            <w:gridSpan w:val="2"/>
          </w:tcPr>
          <w:p w14:paraId="790BE8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t>文献创新性：</w:t>
              <w:br/>
              <w:t>作为硕士论文，本文对短视频新闻叙事进行了系统性研究，理论框架较为完整，从叙事学视角切入具有学理深度，研究维度全面（主题、结构、话语、视角）。</w:t>
              <w:br/>
              <w:br/>
              <w:t>对本人选题的价值和借鉴意义：</w:t>
              <w:br/>
              <w:t>1. 本文构建的短视频新闻叙事分析框架具有直接的参考价值。</w:t>
              <w:br/>
              <w:t>2. 叙事学理论的应用方式为同类研究提供了方法论示范。</w:t>
              <w:br/>
              <w:t>3. 对叙事问题的反思有助于更全面地认识短视频新闻叙事的局限性。</w:t>
              <w:br/>
              <w:br/>
              <w:t>阅读后收获：</w:t>
              <w:br/>
              <w:t>理解了移动短视频新闻叙事的系统性特征，认识到叙事学为短视频新闻研究提供了有力的理论工具，多模态叙事系统的概念对理解短视频新闻的独特性具有启发意义。</w:t>
            </w:r>
          </w:p>
          <w:p w14:paraId="3F8012AA">
            <w:pPr>
              <w:rPr>
                <w:rFonts w:hint="eastAsia"/>
                <w:lang w:val="en-US" w:eastAsia="zh-CN"/>
              </w:rPr>
            </w:pPr>
          </w:p>
          <w:p w14:paraId="0455EAC4">
            <w:pPr>
              <w:rPr>
                <w:rFonts w:hint="eastAsia"/>
                <w:lang w:val="en-US" w:eastAsia="zh-CN"/>
              </w:rPr>
            </w:pPr>
          </w:p>
          <w:p w14:paraId="2925449C">
            <w:pPr>
              <w:rPr>
                <w:rFonts w:hint="eastAsia"/>
                <w:lang w:val="en-US" w:eastAsia="zh-CN"/>
              </w:rPr>
            </w:pPr>
          </w:p>
          <w:p w14:paraId="2D528860">
            <w:pPr>
              <w:rPr>
                <w:rFonts w:hint="eastAsia"/>
                <w:lang w:val="en-US" w:eastAsia="zh-CN"/>
              </w:rPr>
            </w:pPr>
          </w:p>
          <w:p w14:paraId="6B9F41BC">
            <w:pPr>
              <w:rPr>
                <w:rFonts w:hint="eastAsia"/>
                <w:lang w:val="en-US" w:eastAsia="zh-CN"/>
              </w:rPr>
            </w:pPr>
          </w:p>
          <w:p w14:paraId="2356C3CC">
            <w:pPr>
              <w:rPr>
                <w:rFonts w:hint="eastAsia"/>
                <w:lang w:val="en-US" w:eastAsia="zh-CN"/>
              </w:rPr>
            </w:pPr>
          </w:p>
          <w:p w14:paraId="32C1A50E">
            <w:pPr>
              <w:rPr>
                <w:rFonts w:hint="eastAsia"/>
                <w:lang w:val="en-US" w:eastAsia="zh-CN"/>
              </w:rPr>
            </w:pPr>
          </w:p>
          <w:p w14:paraId="2F7F25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F5734D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809CAE9">
                          <w:pPr>
                            <w:pStyle w:val="2"/>
                            <w:rPr>
                              <w:rFonts w:hint="default" w:ascii="Times New Roman" w:hAnsi="Times New Roman" w:cs="Times New Roman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t>1</w: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809CAE9">
                    <w:pPr>
                      <w:pStyle w:val="2"/>
                      <w:rPr>
                        <w:rFonts w:hint="default" w:ascii="Times New Roman" w:hAnsi="Times New Roman" w:cs="Times New Roman"/>
                      </w:rPr>
                    </w:pPr>
                    <w:r>
                      <w:rPr>
                        <w:rFonts w:hint="default" w:ascii="Times New Roman" w:hAnsi="Times New Roman" w:cs="Times New Roman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</w:rPr>
                      <w:t>1</w: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610A95">
    <w:pPr>
      <w:pStyle w:val="3"/>
      <w:jc w:val="center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inline distT="0" distB="0" distL="114300" distR="114300">
          <wp:extent cx="1792605" cy="311150"/>
          <wp:effectExtent l="0" t="0" r="0" b="10160"/>
          <wp:docPr id="1" name="图片 1" descr="河北环境工程学院-校名和校徽-18 - 副本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河北环境工程学院-校名和校徽-18 - 副本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92605" cy="3111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80948E9"/>
    <w:rsid w:val="190E6095"/>
    <w:rsid w:val="1F7560A3"/>
    <w:rsid w:val="260F62B9"/>
    <w:rsid w:val="3FB23A75"/>
    <w:rsid w:val="7F923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1118</Words>
  <Characters>1152</Characters>
  <Lines>0</Lines>
  <Paragraphs>0</Paragraphs>
  <TotalTime>15</TotalTime>
  <ScaleCrop>false</ScaleCrop>
  <LinksUpToDate>false</LinksUpToDate>
  <CharactersWithSpaces>1429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2021-09-30T12:10:00Z</dcterms:created>
  <dc:creator>Administrator</dc:creator>
  <cp:lastModifiedBy>葛涵</cp:lastModifiedBy>
  <cp:lastPrinted>2021-09-30T12:36:00Z</cp:lastPrinted>
  <dcterms:modified xsi:type="dcterms:W3CDTF">2026-03-17T07:54:00Z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460668179E054C79B5C1DF2B598A4EF7_13</vt:lpwstr>
  </property>
</Properties>
</file>