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560" w:lineRule="exact"/>
      </w:pPr>
      <w:r>
        <w:rPr>
          <w:rFonts w:ascii="宋体" w:hAnsi="宋体"/>
          <w:b/>
          <w:sz w:val="44"/>
          <w:rFonts w:eastAsia="宋体"/>
        </w:rPr>
        <w:t>《环境传播前沿》课程作业</w:t>
      </w:r>
    </w:p>
    <w:p>
      <w:pPr>
        <w:spacing w:line="560" w:lineRule="exact"/>
      </w:pP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姓名：___________  班级：___________  学号：___________  指导教师：杜少中，张莉莉</w:t>
      </w:r>
    </w:p>
    <w:p>
      <w:pPr>
        <w:spacing w:line="560" w:lineRule="exact"/>
      </w:pPr>
    </w:p>
    <w:p>
      <w:pPr>
        <w:jc w:val="center"/>
        <w:spacing w:line="560" w:lineRule="exact"/>
      </w:pPr>
      <w:r>
        <w:rPr>
          <w:rFonts w:ascii="宋体" w:hAnsi="宋体"/>
          <w:b/>
          <w:sz w:val="44"/>
          <w:rFonts w:eastAsia="宋体"/>
        </w:rPr>
        <w:t>全媒体时代环境舆情传播分析报告</w:t>
      </w:r>
    </w:p>
    <w:p>
      <w:pPr>
        <w:jc w:val="center"/>
        <w:spacing w:line="560" w:lineRule="exact"/>
      </w:pPr>
      <w:r>
        <w:rPr>
          <w:rFonts w:ascii="宋体" w:hAnsi="宋体"/>
          <w:b/>
          <w:sz w:val="32"/>
          <w:rFonts w:eastAsia="宋体"/>
        </w:rPr>
        <w:t>——以"景德镇昌江铊污染事件"（2024）为例</w:t>
      </w:r>
    </w:p>
    <w:p>
      <w:pPr>
        <w:spacing w:line="560" w:lineRule="exact"/>
      </w:pPr>
    </w:p>
    <w:p>
      <w:pPr>
        <w:spacing w:line="560" w:lineRule="exact"/>
      </w:pPr>
      <w:r>
        <w:rPr>
          <w:rFonts w:ascii="黑体" w:hAnsi="黑体"/>
          <w:b/>
          <w:sz w:val="32"/>
          <w:rFonts w:eastAsia="黑体"/>
        </w:rPr>
        <w:t>一、案例背景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2024年3月，有网民在社交媒体发布视频，称江西省景德镇市昌江河段出现大批死鱼，并附上自测水质显示铊元素超标的短视频，相关话题迅速登上微博热搜，引发公众对饮用水安全的强烈关注。景德镇市生态环境局随后启动应急监测，确认昌江水体铊浓度存在异常，并于24小时内向社会公开检测数据。该事件从民间爆料到政府回应、媒体跟进、网络舆论全面发酵，完整呈现了全媒体时代突发环境舆情的典型传播路径，是近年来最具代表性的环境舆情案例之一。</w:t>
      </w:r>
    </w:p>
    <w:p>
      <w:pPr>
        <w:spacing w:line="560" w:lineRule="exact"/>
      </w:pPr>
      <w:r>
        <w:rPr>
          <w:rFonts w:ascii="黑体" w:hAnsi="黑体"/>
          <w:b/>
          <w:sz w:val="32"/>
          <w:rFonts w:eastAsia="黑体"/>
        </w:rPr>
        <w:t>二、官方与媒体运用网络传播逻辑的方式分析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（一）情绪共鸣：以"饮水安全"激活公众焦虑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此次事件最初由普通市民拍摄的短视频点燃舆论，"死鱼""铊超标""饮用水"等强感知词汇直接触发公众的健康焦虑，形成高烈度的情绪共鸣。讲座中指出，全媒体时代舆情传播的核心驱动力之一是"情绪先于理性"，此案例印证了这一判断：短视频凭借直观的视觉冲击，在专业机构尚未介入之前已完成了第一轮舆论动员，充分说明情绪共鸣是环境舆情爆发的关键引信。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（二）议程设置：从地方污染上升为全国性水安全议题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随着人民日报、央视新闻、澎湃新闻等主流媒体相继跟进，事件议程被重新建构为"重金属污染""监管漏洞""城市饮水安全保障"等宏观议题，成功完成了从地方性环境事件到全国性政策议题的议程跃升。官方媒体的介入不仅放大了事件能见度，也将舆论焦点从情绪宣泄引导至制度层面的追责与改进，体现了主流媒体在议程设置中的"锚定"功能。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（三）圈层扩散：短视频平台驱动的多级传播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事件传播呈现出明显的圈层扩散特征：抖音、微博用户的自发转发构成第一圈层；环保NGO、科普博主的专业解读形成第二圈层；主流媒体的深度调查报道形成第三圈层。三个圈层相互激活、循环强化，使话题持续维持高热度。景德镇市政府在第一圈层发酵期间即开通官方微博直播监测过程，主动嵌入圈层传播链，有效缩短了"谣言真空期"。</w:t>
      </w:r>
    </w:p>
    <w:p>
      <w:pPr>
        <w:spacing w:line="560" w:lineRule="exact"/>
      </w:pPr>
      <w:r>
        <w:rPr>
          <w:rFonts w:ascii="黑体" w:hAnsi="黑体"/>
          <w:b/>
          <w:sz w:val="32"/>
          <w:rFonts w:eastAsia="黑体"/>
        </w:rPr>
        <w:t>三、舆情应对与传播创新方法评估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（一）多平台矩阵发声：覆盖面广，但话语协同不足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景德镇市生态环境局通过官方网站、政务微博、微信公众号同步发布监测公告，实现了信息的多渠道覆盖。然而，不同平台的发布内容存在轻微出入，技术术语未经适当转化，专业报告直接搬运至微博，导致普通市民阅读困难，公众获取感降低。多平台矩阵发声的关键不仅在于"全面发布"，更在于"因渠道调适内容"，此点尚有改进空间。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（二）数据化回应：实时公开有效压缩谣言空间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本次事件中，官方每隔6小时更新一次昌江各监测断面的铊浓度数据，并以折线图形式在官方微博同步展示，这一做法有效填补了信息真空，大幅压缩了谣言的生存空间。数据更新的连续性和可视化呈现，使公众能够直观感知污染态势的动态变化，显著降低了恐慌程度，是此次舆情应对中最值得肯定的创新举措。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（三）短视频辟谣：形式创新，传播效率显著提升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相关部门联合权威科普账号制作了"铊是什么""超标多少才有害""自来水会受影响吗"系列短视频，以1分钟以内的竖屏形式发布于抖音、微博，单条播放量超500万次。与传统文字公告相比，短视频辟谣在修复公众信任方面展现出明显优势，印证了讲座中"移动优先、视觉优先"传播逻辑在突发环境事件中的实践价值。</w:t>
      </w:r>
    </w:p>
    <w:p>
      <w:pPr>
        <w:spacing w:line="560" w:lineRule="exact"/>
      </w:pPr>
      <w:r>
        <w:rPr>
          <w:rFonts w:ascii="黑体" w:hAnsi="黑体"/>
          <w:b/>
          <w:sz w:val="32"/>
          <w:rFonts w:eastAsia="黑体"/>
        </w:rPr>
        <w:t>四、可优化的传播策略建议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建议在回应话语体系上进行"分众化重构"：针对普通市民，以"白话文+数据可视化"为主；针对专业人士，提供完整的技术报告；针对媒体记者，开设专属新闻素材包下载通道。本次事件中，官方发布的技术文件语言晦涩，部分市民误读"铊超标"数据，引发不必要的恐慌扩散。分众化的话语重构，本质上是将"信息正确"升级为"信息有效"——只有真正被理解的信息才能实现舆论引导的目标。此外，建议在事件初期即邀请独立第三方环保机构同步公布检测数据，以"多方印证"强化官方数据公信力，避免"自证清白"的信任悖论。</w:t>
      </w:r>
    </w:p>
    <w:p>
      <w:pPr>
        <w:spacing w:line="560" w:lineRule="exact"/>
      </w:pPr>
      <w:r>
        <w:rPr>
          <w:rFonts w:ascii="黑体" w:hAnsi="黑体"/>
          <w:b/>
          <w:sz w:val="32"/>
          <w:rFonts w:eastAsia="黑体"/>
        </w:rPr>
        <w:t>五、全媒体舆情管理新逻辑融入环境传播专业实践的思考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（一）风险预判：建立环境议题敏感度评估框架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作为未来的环境新闻与传播从业者，我将把"舆情风险预判"纳入环保报道的前期策划环节。凡涉及饮水安全、重金属污染、垃圾处置设施选址等高情绪敏感议题，须在报道前评估其潜在舆情烈度，并预备"技术核查版""公众科普版""政策追责版"三套平行叙事方案，以应对事件走向的不确定性。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（二）突发事件回应框架：速度、准确、温度三维并重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以景德镇案例为镜，我将在突发环境事件报道中坚持"速度保证存在感、准确建立权威性、温度实现共情力"的三维回应框架。第一时间到达现场、第一时间核查数据、第一时间以受众可理解的语言发声，是全媒体时代环境记者不可或缺的核心能力。</w:t>
      </w:r>
    </w:p>
    <w:p>
      <w:pPr>
        <w:spacing w:line="560" w:lineRule="exact"/>
      </w:pPr>
      <w:r>
        <w:rPr>
          <w:rFonts w:ascii="仿宋" w:hAnsi="仿宋"/>
          <w:b/>
          <w:sz w:val="32"/>
          <w:rFonts w:eastAsia="仿宋"/>
        </w:rPr>
        <w:t>（三）共识构建：以对话型传播推动环保议题社会认同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全媒体时代的舆论引导已从"单向宣传"转向"双向对话"。在环保议题的共识构建中，我将积极运用直播连线、评论区互动、网络圆桌等形式，邀请政府官员、科研专家、普通市民同台对话，以"去中心化"的叙事结构让公众感受到参与感与被尊重感，从而在多元声音中凝聚最大公约数式的环保共识，推动环境传播从"告知公众"迈向"赋权公众"的新阶段。</w:t>
      </w:r>
    </w:p>
    <w:p>
      <w:pPr>
        <w:spacing w:line="560" w:lineRule="exact"/>
      </w:pPr>
      <w:r>
        <w:rPr>
          <w:rFonts w:ascii="黑体" w:hAnsi="黑体"/>
          <w:b/>
          <w:sz w:val="32"/>
          <w:rFonts w:eastAsia="黑体"/>
        </w:rPr>
        <w:t>结语</w:t>
      </w:r>
    </w:p>
    <w:p>
      <w:pPr>
        <w:spacing w:line="560" w:lineRule="exact"/>
        <w:ind w:firstLine="640"/>
      </w:pPr>
      <w:r>
        <w:rPr>
          <w:rFonts w:ascii="仿宋" w:hAnsi="仿宋"/>
          <w:b w:val="0"/>
          <w:sz w:val="32"/>
          <w:rFonts w:eastAsia="仿宋"/>
        </w:rPr>
        <w:t>景德镇昌江铊污染事件的舆情传播历程表明，在全媒体时代，环境舆情应对的核心竞争力已从"控制信息"转变为"管理信任"。数据的实时透明、话语的平民转化、渠道的圈层适配，共同构成环境传播公信力重建的三大支柱。未来环境传播从业者唯有将这一新逻辑内化为专业本能，方能在信息高度流动的舆论场中真正担当起环境议题"守门人"与"对话桥"的双重角色。</w:t>
      </w:r>
    </w:p>
    <w:sectPr w:rsidR="00FC693F" w:rsidRPr="0006063C" w:rsidSect="00034616">
      <w:pgSz w:w="302" w:h="42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