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4A3BF">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黑体" w:hAnsi="黑体" w:eastAsia="黑体" w:cs="黑体"/>
          <w:b w:val="0"/>
          <w:bCs w:val="0"/>
          <w:sz w:val="32"/>
          <w:szCs w:val="32"/>
          <w:lang w:val="en-US" w:eastAsia="zh-CN"/>
        </w:rPr>
      </w:pPr>
      <w:bookmarkStart w:id="0" w:name="_GoBack"/>
      <w:bookmarkEnd w:id="0"/>
      <w:r>
        <w:rPr>
          <w:rFonts w:hint="eastAsia" w:ascii="黑体" w:hAnsi="黑体" w:eastAsia="黑体" w:cs="黑体"/>
          <w:b w:val="0"/>
          <w:bCs w:val="0"/>
          <w:sz w:val="32"/>
          <w:szCs w:val="32"/>
          <w:lang w:val="en-US" w:eastAsia="zh-CN"/>
        </w:rPr>
        <w:t>文献阅读笔记</w:t>
      </w:r>
    </w:p>
    <w:p w14:paraId="30F986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学生姓名</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b/>
          <w:bCs/>
          <w:sz w:val="28"/>
          <w:szCs w:val="28"/>
          <w:lang w:val="en-US" w:eastAsia="zh-CN"/>
        </w:rPr>
        <w:t>学    号：</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50EF82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专业班级：</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 xml:space="preserve">     </w:t>
      </w:r>
      <w:r>
        <w:rPr>
          <w:rFonts w:hint="eastAsia" w:ascii="仿宋" w:hAnsi="仿宋" w:eastAsia="仿宋" w:cs="仿宋"/>
          <w:b/>
          <w:bCs/>
          <w:sz w:val="28"/>
          <w:szCs w:val="28"/>
          <w:lang w:val="en-US" w:eastAsia="zh-CN"/>
        </w:rPr>
        <w:t>指导教师：</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12FBDC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毕业论文题目：</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tbl>
      <w:tblPr>
        <w:tblStyle w:val="5"/>
        <w:tblW w:w="4903" w:type="pct"/>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8101"/>
      </w:tblGrid>
      <w:tr w14:paraId="2093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1DCBCDC6">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文献标题</w:t>
            </w:r>
          </w:p>
        </w:tc>
        <w:tc>
          <w:tcPr>
            <w:tcW w:w="4215" w:type="pct"/>
          </w:tcPr>
          <w:p w14:paraId="332A560C">
            <w:pPr>
              <w:rPr>
                <w:rFonts w:hint="eastAsia" w:ascii="仿宋" w:hAnsi="仿宋" w:eastAsia="仿宋" w:cs="仿宋"/>
                <w:sz w:val="28"/>
                <w:szCs w:val="28"/>
                <w:lang w:val="en-US" w:eastAsia="zh-CN"/>
              </w:rPr>
            </w:pPr>
            <w:r>
              <w:t>主流媒体的短视频新闻实践及优化路径探析——以抖音平台为例</w:t>
            </w:r>
          </w:p>
        </w:tc>
      </w:tr>
      <w:tr w14:paraId="6DDC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54A0E4BC">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文献来源</w:t>
            </w:r>
          </w:p>
        </w:tc>
        <w:tc>
          <w:tcPr>
            <w:tcW w:w="4215" w:type="pct"/>
          </w:tcPr>
          <w:p w14:paraId="5A36FBD4">
            <w:pPr>
              <w:rPr>
                <w:rFonts w:hint="eastAsia" w:ascii="仿宋" w:hAnsi="仿宋" w:eastAsia="仿宋" w:cs="仿宋"/>
                <w:sz w:val="28"/>
                <w:szCs w:val="28"/>
                <w:lang w:val="en-US" w:eastAsia="zh-CN"/>
              </w:rPr>
            </w:pPr>
            <w:r>
              <w:t>新闻研究导刊，2025年第16卷第17期，第112-115页</w:t>
            </w:r>
          </w:p>
        </w:tc>
      </w:tr>
      <w:tr w14:paraId="31F3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6D682FB1">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文献作者</w:t>
            </w:r>
          </w:p>
        </w:tc>
        <w:tc>
          <w:tcPr>
            <w:tcW w:w="4215" w:type="pct"/>
          </w:tcPr>
          <w:p w14:paraId="29A3E50C">
            <w:pPr>
              <w:rPr>
                <w:rFonts w:hint="eastAsia" w:ascii="仿宋" w:hAnsi="仿宋" w:eastAsia="仿宋" w:cs="仿宋"/>
                <w:sz w:val="28"/>
                <w:szCs w:val="28"/>
                <w:lang w:val="en-US" w:eastAsia="zh-CN"/>
              </w:rPr>
            </w:pPr>
            <w:r>
              <w:t>刘方方</w:t>
            </w:r>
          </w:p>
        </w:tc>
      </w:tr>
      <w:tr w14:paraId="7F02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79B0D358">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刊物级别</w:t>
            </w:r>
          </w:p>
        </w:tc>
        <w:tc>
          <w:tcPr>
            <w:tcW w:w="4215" w:type="pct"/>
          </w:tcPr>
          <w:p w14:paraId="2DDDCE8A">
            <w:pPr>
              <w:ind w:firstLine="1120" w:firstLineChars="400"/>
              <w:rPr>
                <w:rFonts w:hint="eastAsia" w:ascii="仿宋" w:hAnsi="仿宋" w:eastAsia="仿宋" w:cs="仿宋"/>
                <w:sz w:val="28"/>
                <w:szCs w:val="28"/>
                <w:lang w:val="en-US" w:eastAsia="zh-CN"/>
              </w:rPr>
            </w:pPr>
            <w:r>
              <w:t>□核心期刊             ☑普通期刊</w:t>
            </w:r>
          </w:p>
        </w:tc>
      </w:tr>
      <w:tr w14:paraId="369E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222A32BC">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文献摘要</w:t>
            </w:r>
          </w:p>
        </w:tc>
      </w:tr>
      <w:tr w14:paraId="0FAA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tcPr>
          <w:p w14:paraId="399F1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摘要：随着移动互联网技术的快速发展和短视频平台的兴起，短视频新闻已成为新闻传播的重要形态。主流媒体纷纷入驻抖音等短视频平台，积极探索短视频新闻的生产与传播实践。本文以抖音平台为例，分析了主流媒体短视频新闻的实践现状，包括内容生产特征、传播策略运用、用户互动模式等方面，探讨了主流媒体在短视频新闻实践中面临的困境与挑战，并从内容创新、技术赋能、互动升级、人才培养等维度提出了优化路径，以期为主流媒体更好地利用短视频平台开展新闻传播提供参考与借鉴。</w:t>
              <w:br/>
              <w:br/>
              <w:t>关键词：主流媒体；短视频新闻；抖音；传播实践；优化路径</w:t>
            </w:r>
          </w:p>
          <w:p w14:paraId="14EA2450">
            <w:pPr>
              <w:rPr>
                <w:rFonts w:hint="eastAsia" w:ascii="仿宋" w:hAnsi="仿宋" w:eastAsia="仿宋" w:cs="仿宋"/>
                <w:lang w:val="en-US" w:eastAsia="zh-CN"/>
              </w:rPr>
            </w:pPr>
          </w:p>
          <w:p w14:paraId="4876DB41">
            <w:pPr>
              <w:rPr>
                <w:rFonts w:hint="eastAsia" w:ascii="仿宋" w:hAnsi="仿宋" w:eastAsia="仿宋" w:cs="仿宋"/>
                <w:lang w:val="en-US" w:eastAsia="zh-CN"/>
              </w:rPr>
            </w:pPr>
          </w:p>
          <w:p w14:paraId="6C2E02B3">
            <w:pPr>
              <w:rPr>
                <w:rFonts w:hint="eastAsia" w:ascii="仿宋" w:hAnsi="仿宋" w:eastAsia="仿宋" w:cs="仿宋"/>
                <w:lang w:val="en-US" w:eastAsia="zh-CN"/>
              </w:rPr>
            </w:pPr>
          </w:p>
          <w:p w14:paraId="5686D64B">
            <w:pPr>
              <w:rPr>
                <w:rFonts w:hint="eastAsia" w:ascii="仿宋" w:hAnsi="仿宋" w:eastAsia="仿宋" w:cs="仿宋"/>
                <w:lang w:val="en-US" w:eastAsia="zh-CN"/>
              </w:rPr>
            </w:pPr>
          </w:p>
          <w:p w14:paraId="46CCA9CC">
            <w:pPr>
              <w:rPr>
                <w:rFonts w:hint="eastAsia" w:ascii="仿宋" w:hAnsi="仿宋" w:eastAsia="仿宋" w:cs="仿宋"/>
                <w:lang w:val="en-US" w:eastAsia="zh-CN"/>
              </w:rPr>
            </w:pPr>
          </w:p>
          <w:p w14:paraId="5D5462A5">
            <w:pPr>
              <w:rPr>
                <w:rFonts w:hint="eastAsia" w:ascii="仿宋" w:hAnsi="仿宋" w:eastAsia="仿宋" w:cs="仿宋"/>
                <w:lang w:val="en-US" w:eastAsia="zh-CN"/>
              </w:rPr>
            </w:pPr>
          </w:p>
          <w:p w14:paraId="5460ABE3">
            <w:pPr>
              <w:rPr>
                <w:rFonts w:hint="eastAsia" w:ascii="仿宋" w:hAnsi="仿宋" w:eastAsia="仿宋" w:cs="仿宋"/>
                <w:lang w:val="en-US" w:eastAsia="zh-CN"/>
              </w:rPr>
            </w:pPr>
          </w:p>
          <w:p w14:paraId="55339DB0">
            <w:pPr>
              <w:rPr>
                <w:rFonts w:hint="eastAsia" w:ascii="仿宋" w:hAnsi="仿宋" w:eastAsia="仿宋" w:cs="仿宋"/>
                <w:lang w:val="en-US" w:eastAsia="zh-CN"/>
              </w:rPr>
            </w:pPr>
          </w:p>
          <w:p w14:paraId="0FC5CF41">
            <w:pPr>
              <w:rPr>
                <w:rFonts w:hint="eastAsia" w:ascii="仿宋" w:hAnsi="仿宋" w:eastAsia="仿宋" w:cs="仿宋"/>
                <w:lang w:val="en-US" w:eastAsia="zh-CN"/>
              </w:rPr>
            </w:pPr>
          </w:p>
          <w:p w14:paraId="0F982243">
            <w:pPr>
              <w:rPr>
                <w:rFonts w:hint="eastAsia" w:ascii="仿宋" w:hAnsi="仿宋" w:eastAsia="仿宋" w:cs="仿宋"/>
                <w:lang w:val="en-US" w:eastAsia="zh-CN"/>
              </w:rPr>
            </w:pPr>
          </w:p>
          <w:p w14:paraId="701C1727">
            <w:pPr>
              <w:rPr>
                <w:rFonts w:hint="eastAsia" w:ascii="仿宋" w:hAnsi="仿宋" w:eastAsia="仿宋" w:cs="仿宋"/>
                <w:lang w:val="en-US" w:eastAsia="zh-CN"/>
              </w:rPr>
            </w:pPr>
          </w:p>
        </w:tc>
      </w:tr>
      <w:tr w14:paraId="3AB3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4CD5668D">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阅读笔记</w:t>
            </w:r>
          </w:p>
        </w:tc>
      </w:tr>
      <w:tr w14:paraId="1FDB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4" w:hRule="atLeast"/>
        </w:trPr>
        <w:tc>
          <w:tcPr>
            <w:tcW w:w="5000" w:type="pct"/>
            <w:gridSpan w:val="2"/>
          </w:tcPr>
          <w:p w14:paraId="714423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研究对象：</w:t>
              <w:br/>
              <w:t>主流媒体在抖音平台上的短视频新闻传播实践，聚焦于人民日报、新华社、央视新闻等主流媒体抖音账号的短视频新闻内容生产与传播。</w:t>
              <w:br/>
              <w:br/>
              <w:t>研究目的：</w:t>
              <w:br/>
              <w:t>系统梳理主流媒体在抖音平台进行短视频新闻实践的现状与特征，发现当前存在的问题与不足，并提出针对性的优化路径建议，为主流媒体在短视频时代提升新闻传播力、引导力和影响力提供理论参考。</w:t>
              <w:br/>
              <w:br/>
              <w:t>研究方法、理论：</w:t>
              <w:br/>
              <w:t>1. 案例分析法：选取抖音平台上具有代表性的主流媒体账号作为研究案例，对其短视频新闻实践进行深入剖析。</w:t>
              <w:br/>
              <w:t>2. 内容分析法：对主流媒体发布的短视频新闻内容进行系统分析，包括选题方向、叙事方式、视听表达等。</w:t>
              <w:br/>
              <w:t>3. 文献研究法：梳理国内外关于短视频新闻、媒体融合、新闻叙事等方面的研究成果，为本研究提供理论支撑。</w:t>
              <w:br/>
              <w:br/>
              <w:t>研究过程（思路）：</w:t>
              <w:br/>
              <w:t>第一步，阐述研究背景，梳理短视频新闻兴起的技术与社会背景，以及主流媒体入驻短视频平台的必要性与现状；</w:t>
              <w:br/>
              <w:t>第二步，以抖音平台为研究场域，从内容生产（选题类型、叙事策略、视听语言）、传播策略（发布频率、时间选择、标题设计）、用户互动（评论区管理、话题设置、直播联动）等方面分析主流媒体短视频新闻的实践特征；</w:t>
              <w:br/>
              <w:t>第三步，指出主流媒体短视频新闻实践中存在的问题：内容同质化现象严重、深度报道与解释性新闻不足、与用户互动方式较为单一、短视频新闻专业人才缺乏等；</w:t>
              <w:br/>
              <w:t>第四步，从内容层面、技术层面、互动层面、人才层面提出系统性优化路径。</w:t>
              <w:br/>
              <w:br/>
              <w:t>主要观点及结论：</w:t>
              <w:br/>
              <w:t>1. 主流媒体在抖音平台已初步形成了以时政新闻、社会民生、突发事件为主的内容矩阵，在传播时效性和覆盖面上具有显著优势。</w:t>
              <w:br/>
              <w:t>2. 存在的主要问题包括：（1）内容同质化严重，各媒体间差异化定位不清晰；（2）过度追求流量导致深度内容供给不足；（3）与用户互动多停留在浅层，缺乏深度对话机制；（4）具备短视频思维和技能的专业新闻人才储备不足。</w:t>
              <w:br/>
              <w:t>3. 优化路径：（1）内容创新——坚持内容为王，打造差异化、精品化的短视频新闻产品，注重深度与可视化结合；（2）技术赋能——运用AI、AR/VR、大数据等新技术提升新闻生产效率和视觉呈现效果；（3）互动升级——构建多元化互动机制，通过话题共创、评论互动、用户共创等方式增强用户黏性；（4）人才培养——加强复合型短视频新闻人才培养，建设集策划、拍摄、剪辑、运营于一体的专业团队。</w:t>
              <w:br/>
              <w:t>4. 主流媒体应在坚守新闻专业主义的基础上，积极适应短视频平台的传播规律和算法逻辑，实现主流价值引领与平台传播效能的有机统一。</w:t>
            </w:r>
          </w:p>
          <w:p w14:paraId="2BA0DB6C">
            <w:pPr>
              <w:rPr>
                <w:rFonts w:hint="eastAsia"/>
                <w:lang w:val="en-US" w:eastAsia="zh-CN"/>
              </w:rPr>
            </w:pPr>
          </w:p>
          <w:p w14:paraId="72AAD50B">
            <w:pPr>
              <w:rPr>
                <w:rFonts w:hint="eastAsia"/>
                <w:lang w:val="en-US" w:eastAsia="zh-CN"/>
              </w:rPr>
            </w:pPr>
          </w:p>
          <w:p w14:paraId="46A65BFE">
            <w:pPr>
              <w:rPr>
                <w:rFonts w:hint="eastAsia"/>
                <w:lang w:val="en-US" w:eastAsia="zh-CN"/>
              </w:rPr>
            </w:pPr>
          </w:p>
          <w:p w14:paraId="10863C26">
            <w:pPr>
              <w:rPr>
                <w:rFonts w:hint="eastAsia"/>
                <w:lang w:val="en-US" w:eastAsia="zh-CN"/>
              </w:rPr>
            </w:pPr>
          </w:p>
          <w:p w14:paraId="375F4DDD">
            <w:pPr>
              <w:rPr>
                <w:rFonts w:hint="eastAsia"/>
                <w:lang w:val="en-US" w:eastAsia="zh-CN"/>
              </w:rPr>
            </w:pPr>
          </w:p>
          <w:p w14:paraId="6940254B">
            <w:pPr>
              <w:rPr>
                <w:rFonts w:hint="eastAsia"/>
                <w:lang w:val="en-US" w:eastAsia="zh-CN"/>
              </w:rPr>
            </w:pPr>
          </w:p>
          <w:p w14:paraId="24467C23">
            <w:pPr>
              <w:rPr>
                <w:rFonts w:hint="eastAsia"/>
                <w:lang w:val="en-US" w:eastAsia="zh-CN"/>
              </w:rPr>
            </w:pPr>
          </w:p>
          <w:p w14:paraId="79C8F635">
            <w:pPr>
              <w:rPr>
                <w:rFonts w:hint="eastAsia"/>
                <w:lang w:val="en-US" w:eastAsia="zh-CN"/>
              </w:rPr>
            </w:pPr>
          </w:p>
          <w:p w14:paraId="6DC2BB8C">
            <w:pPr>
              <w:rPr>
                <w:rFonts w:hint="eastAsia"/>
                <w:lang w:val="en-US" w:eastAsia="zh-CN"/>
              </w:rPr>
            </w:pPr>
          </w:p>
          <w:p w14:paraId="7D865A5E">
            <w:pPr>
              <w:rPr>
                <w:rFonts w:hint="eastAsia"/>
                <w:lang w:val="en-US" w:eastAsia="zh-CN"/>
              </w:rPr>
            </w:pPr>
          </w:p>
          <w:p w14:paraId="2CC5F0CE">
            <w:pPr>
              <w:rPr>
                <w:rFonts w:hint="eastAsia"/>
                <w:lang w:val="en-US" w:eastAsia="zh-CN"/>
              </w:rPr>
            </w:pPr>
          </w:p>
          <w:p w14:paraId="27DBEFD9">
            <w:pPr>
              <w:rPr>
                <w:rFonts w:hint="eastAsia"/>
                <w:lang w:val="en-US" w:eastAsia="zh-CN"/>
              </w:rPr>
            </w:pPr>
          </w:p>
          <w:p w14:paraId="4F5B37A4">
            <w:pPr>
              <w:rPr>
                <w:rFonts w:hint="eastAsia"/>
                <w:lang w:val="en-US" w:eastAsia="zh-CN"/>
              </w:rPr>
            </w:pPr>
          </w:p>
          <w:p w14:paraId="6FD0F5A0">
            <w:pPr>
              <w:rPr>
                <w:rFonts w:hint="eastAsia"/>
                <w:lang w:val="en-US" w:eastAsia="zh-CN"/>
              </w:rPr>
            </w:pPr>
          </w:p>
          <w:p w14:paraId="3C2CF78D">
            <w:pPr>
              <w:rPr>
                <w:rFonts w:hint="eastAsia"/>
                <w:lang w:val="en-US" w:eastAsia="zh-CN"/>
              </w:rPr>
            </w:pPr>
          </w:p>
          <w:p w14:paraId="670B3ACE">
            <w:pPr>
              <w:rPr>
                <w:rFonts w:hint="eastAsia"/>
                <w:lang w:val="en-US" w:eastAsia="zh-CN"/>
              </w:rPr>
            </w:pPr>
          </w:p>
          <w:p w14:paraId="4E8ED0B2">
            <w:pPr>
              <w:rPr>
                <w:rFonts w:hint="eastAsia"/>
                <w:lang w:val="en-US" w:eastAsia="zh-CN"/>
              </w:rPr>
            </w:pPr>
          </w:p>
          <w:p w14:paraId="72FF17C1">
            <w:pPr>
              <w:rPr>
                <w:rFonts w:hint="eastAsia"/>
                <w:lang w:val="en-US" w:eastAsia="zh-CN"/>
              </w:rPr>
            </w:pPr>
          </w:p>
          <w:p w14:paraId="03F13B6D">
            <w:pPr>
              <w:rPr>
                <w:rFonts w:hint="eastAsia"/>
                <w:lang w:val="en-US" w:eastAsia="zh-CN"/>
              </w:rPr>
            </w:pPr>
          </w:p>
          <w:p w14:paraId="052ABA68">
            <w:pPr>
              <w:rPr>
                <w:rFonts w:hint="eastAsia"/>
                <w:lang w:val="en-US" w:eastAsia="zh-CN"/>
              </w:rPr>
            </w:pPr>
          </w:p>
          <w:p w14:paraId="2CB10099">
            <w:pPr>
              <w:rPr>
                <w:rFonts w:hint="eastAsia"/>
                <w:lang w:val="en-US" w:eastAsia="zh-CN"/>
              </w:rPr>
            </w:pPr>
          </w:p>
          <w:p w14:paraId="58D0C27E">
            <w:pPr>
              <w:rPr>
                <w:rFonts w:hint="eastAsia"/>
                <w:lang w:val="en-US" w:eastAsia="zh-CN"/>
              </w:rPr>
            </w:pPr>
          </w:p>
          <w:p w14:paraId="35AC5943">
            <w:pPr>
              <w:rPr>
                <w:rFonts w:hint="eastAsia"/>
                <w:lang w:val="en-US" w:eastAsia="zh-CN"/>
              </w:rPr>
            </w:pPr>
          </w:p>
          <w:p w14:paraId="685A2469">
            <w:pPr>
              <w:rPr>
                <w:rFonts w:hint="eastAsia"/>
                <w:lang w:val="en-US" w:eastAsia="zh-CN"/>
              </w:rPr>
            </w:pPr>
          </w:p>
          <w:p w14:paraId="2CA378ED">
            <w:pPr>
              <w:rPr>
                <w:rFonts w:hint="eastAsia"/>
                <w:lang w:val="en-US" w:eastAsia="zh-CN"/>
              </w:rPr>
            </w:pPr>
          </w:p>
          <w:p w14:paraId="6A7FD242">
            <w:pPr>
              <w:rPr>
                <w:rFonts w:hint="eastAsia"/>
                <w:lang w:val="en-US" w:eastAsia="zh-CN"/>
              </w:rPr>
            </w:pPr>
          </w:p>
          <w:p w14:paraId="755B4B7A">
            <w:pPr>
              <w:rPr>
                <w:rFonts w:hint="eastAsia"/>
                <w:lang w:val="en-US" w:eastAsia="zh-CN"/>
              </w:rPr>
            </w:pPr>
          </w:p>
          <w:p w14:paraId="47CD002D">
            <w:pPr>
              <w:rPr>
                <w:rFonts w:hint="eastAsia"/>
                <w:lang w:val="en-US" w:eastAsia="zh-CN"/>
              </w:rPr>
            </w:pPr>
          </w:p>
          <w:p w14:paraId="258AF05F">
            <w:pPr>
              <w:rPr>
                <w:rFonts w:hint="eastAsia"/>
                <w:lang w:val="en-US" w:eastAsia="zh-CN"/>
              </w:rPr>
            </w:pPr>
          </w:p>
          <w:p w14:paraId="477D0E07">
            <w:pPr>
              <w:rPr>
                <w:rFonts w:hint="eastAsia"/>
                <w:lang w:val="en-US" w:eastAsia="zh-CN"/>
              </w:rPr>
            </w:pPr>
          </w:p>
          <w:p w14:paraId="0A7A08BF">
            <w:pPr>
              <w:rPr>
                <w:rFonts w:hint="eastAsia"/>
                <w:lang w:val="en-US" w:eastAsia="zh-CN"/>
              </w:rPr>
            </w:pPr>
          </w:p>
          <w:p w14:paraId="3880C984">
            <w:pPr>
              <w:rPr>
                <w:rFonts w:hint="eastAsia" w:ascii="仿宋" w:hAnsi="仿宋" w:eastAsia="仿宋" w:cs="仿宋"/>
                <w:sz w:val="28"/>
                <w:szCs w:val="28"/>
                <w:lang w:val="en-US" w:eastAsia="zh-CN"/>
              </w:rPr>
            </w:pPr>
          </w:p>
        </w:tc>
      </w:tr>
      <w:tr w14:paraId="094A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5000" w:type="pct"/>
            <w:gridSpan w:val="2"/>
          </w:tcPr>
          <w:p w14:paraId="60549445">
            <w:pPr>
              <w:jc w:val="center"/>
              <w:rPr>
                <w:rFonts w:hint="default" w:ascii="仿宋" w:hAnsi="仿宋" w:eastAsia="仿宋" w:cs="仿宋"/>
                <w:sz w:val="28"/>
                <w:szCs w:val="28"/>
                <w:lang w:val="en-US" w:eastAsia="zh-CN"/>
              </w:rPr>
            </w:pPr>
            <w:r>
              <w:rPr>
                <w:rFonts w:hint="eastAsia" w:ascii="黑体" w:hAnsi="黑体" w:eastAsia="黑体" w:cs="黑体"/>
                <w:b w:val="0"/>
                <w:bCs w:val="0"/>
                <w:sz w:val="28"/>
                <w:szCs w:val="28"/>
                <w:lang w:val="en-US" w:eastAsia="zh-CN"/>
              </w:rPr>
              <w:t>简要述评</w:t>
            </w:r>
          </w:p>
        </w:tc>
      </w:tr>
      <w:tr w14:paraId="718C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4" w:hRule="atLeast"/>
        </w:trPr>
        <w:tc>
          <w:tcPr>
            <w:tcW w:w="5000" w:type="pct"/>
            <w:gridSpan w:val="2"/>
          </w:tcPr>
          <w:p w14:paraId="790BE8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文献创新性：</w:t>
              <w:br/>
              <w:t>本文选题紧跟媒体融合发展前沿，以2025年最新数据为基础，聚焦主流媒体在抖音平台的短视频新闻实践，具有较强的时效性和现实针对性。文章从内容生产、传播策略、用户互动三个维度构建了较为系统的分析框架，对主流媒体短视频新闻实践进行了全面梳理。</w:t>
              <w:br/>
              <w:br/>
              <w:t>对本人选题的价值和借鉴意义：</w:t>
              <w:br/>
              <w:t>1. 本文为理解主流媒体在短视频平台的新闻传播提供了系统的分析视角，其研究框架具有方法论上的参考价值。</w:t>
              <w:br/>
              <w:t>2. 文中关于主流媒体如何在短视频平台平衡新闻专业性与平台传播逻辑的讨论，为相关研究提供了重要的理论切入点。</w:t>
              <w:br/>
              <w:t>3. 文献所梳理的实践困境与优化路径，对后续开展更深入的实证研究具有方向指引作用。</w:t>
              <w:br/>
              <w:br/>
              <w:t>阅读后收获：</w:t>
              <w:br/>
              <w:t>通过阅读本文，系统了解了主流媒体在抖音平台短视频新闻实践的全貌，认识到短视频新闻并非简单的"长视频缩短"，而是需要全新的生产逻辑和传播思维。文中提出的"内容同质化"和"深度不足"问题具有普遍性，提示在后续研究中可以进一步探讨如何在碎片化传播环境下实现新闻深度与传播广度的统一。</w:t>
            </w:r>
          </w:p>
          <w:p w14:paraId="3F8012AA">
            <w:pPr>
              <w:rPr>
                <w:rFonts w:hint="eastAsia"/>
                <w:lang w:val="en-US" w:eastAsia="zh-CN"/>
              </w:rPr>
            </w:pPr>
          </w:p>
          <w:p w14:paraId="0455EAC4">
            <w:pPr>
              <w:rPr>
                <w:rFonts w:hint="eastAsia"/>
                <w:lang w:val="en-US" w:eastAsia="zh-CN"/>
              </w:rPr>
            </w:pPr>
          </w:p>
          <w:p w14:paraId="2925449C">
            <w:pPr>
              <w:rPr>
                <w:rFonts w:hint="eastAsia"/>
                <w:lang w:val="en-US" w:eastAsia="zh-CN"/>
              </w:rPr>
            </w:pPr>
          </w:p>
          <w:p w14:paraId="2D528860">
            <w:pPr>
              <w:rPr>
                <w:rFonts w:hint="eastAsia"/>
                <w:lang w:val="en-US" w:eastAsia="zh-CN"/>
              </w:rPr>
            </w:pPr>
          </w:p>
          <w:p w14:paraId="6B9F41BC">
            <w:pPr>
              <w:rPr>
                <w:rFonts w:hint="eastAsia"/>
                <w:lang w:val="en-US" w:eastAsia="zh-CN"/>
              </w:rPr>
            </w:pPr>
          </w:p>
          <w:p w14:paraId="2356C3CC">
            <w:pPr>
              <w:rPr>
                <w:rFonts w:hint="eastAsia"/>
                <w:lang w:val="en-US" w:eastAsia="zh-CN"/>
              </w:rPr>
            </w:pPr>
          </w:p>
          <w:p w14:paraId="32C1A50E">
            <w:pPr>
              <w:rPr>
                <w:rFonts w:hint="eastAsia"/>
                <w:lang w:val="en-US" w:eastAsia="zh-CN"/>
              </w:rPr>
            </w:pPr>
          </w:p>
          <w:p w14:paraId="2F7F25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5734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10A95">
    <w:pPr>
      <w:pStyle w:val="3"/>
      <w:jc w:val="center"/>
      <w:rPr>
        <w:rFonts w:hint="eastAsia" w:eastAsiaTheme="minorEastAsia"/>
        <w:lang w:eastAsia="zh-CN"/>
      </w:rPr>
    </w:pPr>
    <w:r>
      <w:rPr>
        <w:rFonts w:hint="eastAsia" w:eastAsiaTheme="minorEastAsia"/>
        <w:lang w:eastAsia="zh-CN"/>
      </w:rPr>
      <w:drawing>
        <wp:inline distT="0" distB="0" distL="114300" distR="114300">
          <wp:extent cx="1792605" cy="311150"/>
          <wp:effectExtent l="0" t="0" r="0" b="10160"/>
          <wp:docPr id="1" name="图片 1" descr="河北环境工程学院-校名和校徽-18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河北环境工程学院-校名和校徽-18 - 副本"/>
                  <pic:cNvPicPr>
                    <a:picLocks noChangeAspect="1"/>
                  </pic:cNvPicPr>
                </pic:nvPicPr>
                <pic:blipFill>
                  <a:blip r:embed="rId1"/>
                  <a:stretch>
                    <a:fillRect/>
                  </a:stretch>
                </pic:blipFill>
                <pic:spPr>
                  <a:xfrm>
                    <a:off x="0" y="0"/>
                    <a:ext cx="1792605" cy="3111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0948E9"/>
    <w:rsid w:val="190E6095"/>
    <w:rsid w:val="1F7560A3"/>
    <w:rsid w:val="260F62B9"/>
    <w:rsid w:val="3FB23A75"/>
    <w:rsid w:val="7F923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1118</Words>
  <Characters>1152</Characters>
  <Lines>0</Lines>
  <Paragraphs>0</Paragraphs>
  <TotalTime>15</TotalTime>
  <ScaleCrop>false</ScaleCrop>
  <LinksUpToDate>false</LinksUpToDate>
  <CharactersWithSpaces>1429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2021-09-30T12:10:00Z</dcterms:created>
  <dc:creator>Administrator</dc:creator>
  <cp:lastModifiedBy>葛涵</cp:lastModifiedBy>
  <cp:lastPrinted>2021-09-30T12:36:00Z</cp:lastPrinted>
  <dcterms:modified xsi:type="dcterms:W3CDTF">2026-03-17T07:54:00Z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460668179E054C79B5C1DF2B598A4EF7_13</vt:lpwstr>
  </property>
</Properties>
</file>