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4A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文献阅读笔记</w:t>
      </w:r>
    </w:p>
    <w:p w14:paraId="30F98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学生姓名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：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    号：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50EF8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专业班级：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u w:val="non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指导教师：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12FBD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毕业论文题目：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            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tbl>
      <w:tblPr>
        <w:tblStyle w:val="5"/>
        <w:tblW w:w="4903" w:type="pct"/>
        <w:tblInd w:w="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8101"/>
      </w:tblGrid>
      <w:tr w14:paraId="2093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1DCBCD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文献标题</w:t>
            </w:r>
          </w:p>
        </w:tc>
        <w:tc>
          <w:tcPr>
            <w:tcW w:w="4215" w:type="pct"/>
          </w:tcPr>
          <w:p w14:paraId="332A56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短视频：视频生产力的"转基因"与再培育</w:t>
            </w:r>
          </w:p>
        </w:tc>
      </w:tr>
      <w:tr w14:paraId="6DDC8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54A0E4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文献来源</w:t>
            </w:r>
          </w:p>
        </w:tc>
        <w:tc>
          <w:tcPr>
            <w:tcW w:w="4215" w:type="pct"/>
          </w:tcPr>
          <w:p w14:paraId="5A36FBD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新闻界，2019年第1期，第34-43页</w:t>
            </w:r>
          </w:p>
        </w:tc>
      </w:tr>
      <w:tr w14:paraId="31F3F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6D682F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文献作者</w:t>
            </w:r>
          </w:p>
        </w:tc>
        <w:tc>
          <w:tcPr>
            <w:tcW w:w="4215" w:type="pct"/>
          </w:tcPr>
          <w:p w14:paraId="29A3E5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彭兰</w:t>
            </w:r>
          </w:p>
        </w:tc>
      </w:tr>
      <w:tr w14:paraId="7F029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79B0D3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刊物级别</w:t>
            </w:r>
          </w:p>
        </w:tc>
        <w:tc>
          <w:tcPr>
            <w:tcW w:w="4215" w:type="pct"/>
          </w:tcPr>
          <w:p w14:paraId="2DDDCE8A">
            <w:pPr>
              <w:ind w:firstLine="1120" w:firstLineChars="4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☑核心期刊             □普通期刊</w:t>
            </w:r>
          </w:p>
        </w:tc>
      </w:tr>
      <w:tr w14:paraId="369E7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222A32BC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文献摘要</w:t>
            </w:r>
          </w:p>
        </w:tc>
      </w:tr>
      <w:tr w14:paraId="0FAA0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gridSpan w:val="2"/>
          </w:tcPr>
          <w:p w14:paraId="399F1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摘要：短视频的兴起不仅是视频时长的缩短，更是视频生产力的一次"转基因"工程。本文从视频生产力变革的视角出发，分析短视频对传统视频生产模式的颠覆性影响，探讨短视频生产力的构成要素及其"转基因"特征——包括生产主体的泛化、生产工具的平民化、生产流程的去专业化、分发机制的算法化等。在此基础上，进一步讨论短视频生产力的"再培育"问题。</w:t>
              <w:br/>
              <w:br/>
              <w:t>关键词：短视频；视频生产力；转基因；再培育；媒介变革</w:t>
            </w:r>
          </w:p>
          <w:p w14:paraId="14EA245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876DB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6C2E02B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686D64B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6CCA9CC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D5462A5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460ABE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5339DB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C5CF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98224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701C1727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</w:tr>
      <w:tr w14:paraId="3AB35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4CD5668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阅读笔记</w:t>
            </w:r>
          </w:p>
        </w:tc>
      </w:tr>
      <w:tr w14:paraId="1FDBE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4" w:hRule="atLeast"/>
        </w:trPr>
        <w:tc>
          <w:tcPr>
            <w:tcW w:w="5000" w:type="pct"/>
            <w:gridSpan w:val="2"/>
          </w:tcPr>
          <w:p w14:paraId="71442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研究对象：</w:t>
              <w:br/>
              <w:t>短视频作为一种新型视频形态，对视频生产力的变革性影响及其再培育路径。</w:t>
              <w:br/>
              <w:br/>
              <w:t>研究目的：</w:t>
              <w:br/>
              <w:t>从生产力变革的宏观视角审视短视频现象，揭示其对传统视频生产模式的颠覆性意义，并探讨新生产力格局下的规范化发展路径。</w:t>
              <w:br/>
              <w:br/>
              <w:t>研究方法、理论：</w:t>
              <w:br/>
              <w:t>1. 媒介技术理论：从技术驱动视角分析短视频生产力变革的动因。</w:t>
              <w:br/>
              <w:t>2. 政治经济学视角：从生产力与生产关系角度审视短视频生态。</w:t>
              <w:br/>
              <w:t>3. 理论分析与现实观察相结合的思辨研究方法。</w:t>
              <w:br/>
              <w:br/>
              <w:t>研究过程（思路）：</w:t>
              <w:br/>
              <w:t>第一，界定"视频生产力"概念，梳理传统视频生产力的构成；</w:t>
              <w:br/>
              <w:t>第二，分析短视频对视频生产力的"转基因"改造：生产主体从专业机构转向全民参与；生产工具从专业设备转向智能手机；生产流程从复杂工序转向即拍即传；分发机制从编辑推荐转向算法推荐；</w:t>
              <w:br/>
              <w:t>第三，讨论"转基因"后的问题：内容泛滥、质量参差、伦理失范等；</w:t>
              <w:br/>
              <w:t>第四，提出"再培育"路径：重建专业标准、培育优质创作者、完善平台治理。</w:t>
              <w:br/>
              <w:br/>
              <w:t>主要观点及结论：</w:t>
              <w:br/>
              <w:t>1. 短视频不是传统视频的简单缩短版，而是视频生产力的根本性变革。</w:t>
              <w:br/>
              <w:t>2. "转基因"的核心在于生产主体泛化、工具平民化、流程轻量化、分发算法化四重变革。</w:t>
              <w:br/>
              <w:t>3. "转基因"带来了效率革命，但也引发了质量危机和伦理挑战。</w:t>
              <w:br/>
              <w:t>4. "再培育"是必然要求，需从专业引导、平台治理、生态重构三个层面推进。</w:t>
              <w:br/>
              <w:t>5. 主流媒体应积极拥抱短视频生产力变革，在新生态中发挥内容质量的标杆作用。</w:t>
            </w:r>
          </w:p>
          <w:p w14:paraId="2BA0DB6C">
            <w:pPr>
              <w:rPr>
                <w:rFonts w:hint="eastAsia"/>
                <w:lang w:val="en-US" w:eastAsia="zh-CN"/>
              </w:rPr>
            </w:pPr>
          </w:p>
          <w:p w14:paraId="72AAD50B">
            <w:pPr>
              <w:rPr>
                <w:rFonts w:hint="eastAsia"/>
                <w:lang w:val="en-US" w:eastAsia="zh-CN"/>
              </w:rPr>
            </w:pPr>
          </w:p>
          <w:p w14:paraId="46A65BFE">
            <w:pPr>
              <w:rPr>
                <w:rFonts w:hint="eastAsia"/>
                <w:lang w:val="en-US" w:eastAsia="zh-CN"/>
              </w:rPr>
            </w:pPr>
          </w:p>
          <w:p w14:paraId="10863C26">
            <w:pPr>
              <w:rPr>
                <w:rFonts w:hint="eastAsia"/>
                <w:lang w:val="en-US" w:eastAsia="zh-CN"/>
              </w:rPr>
            </w:pPr>
          </w:p>
          <w:p w14:paraId="375F4DDD">
            <w:pPr>
              <w:rPr>
                <w:rFonts w:hint="eastAsia"/>
                <w:lang w:val="en-US" w:eastAsia="zh-CN"/>
              </w:rPr>
            </w:pPr>
          </w:p>
          <w:p w14:paraId="6940254B">
            <w:pPr>
              <w:rPr>
                <w:rFonts w:hint="eastAsia"/>
                <w:lang w:val="en-US" w:eastAsia="zh-CN"/>
              </w:rPr>
            </w:pPr>
          </w:p>
          <w:p w14:paraId="24467C23">
            <w:pPr>
              <w:rPr>
                <w:rFonts w:hint="eastAsia"/>
                <w:lang w:val="en-US" w:eastAsia="zh-CN"/>
              </w:rPr>
            </w:pPr>
          </w:p>
          <w:p w14:paraId="79C8F635">
            <w:pPr>
              <w:rPr>
                <w:rFonts w:hint="eastAsia"/>
                <w:lang w:val="en-US" w:eastAsia="zh-CN"/>
              </w:rPr>
            </w:pPr>
          </w:p>
          <w:p w14:paraId="6DC2BB8C">
            <w:pPr>
              <w:rPr>
                <w:rFonts w:hint="eastAsia"/>
                <w:lang w:val="en-US" w:eastAsia="zh-CN"/>
              </w:rPr>
            </w:pPr>
          </w:p>
          <w:p w14:paraId="7D865A5E">
            <w:pPr>
              <w:rPr>
                <w:rFonts w:hint="eastAsia"/>
                <w:lang w:val="en-US" w:eastAsia="zh-CN"/>
              </w:rPr>
            </w:pPr>
          </w:p>
          <w:p w14:paraId="2CC5F0CE">
            <w:pPr>
              <w:rPr>
                <w:rFonts w:hint="eastAsia"/>
                <w:lang w:val="en-US" w:eastAsia="zh-CN"/>
              </w:rPr>
            </w:pPr>
          </w:p>
          <w:p w14:paraId="27DBEFD9">
            <w:pPr>
              <w:rPr>
                <w:rFonts w:hint="eastAsia"/>
                <w:lang w:val="en-US" w:eastAsia="zh-CN"/>
              </w:rPr>
            </w:pPr>
          </w:p>
          <w:p w14:paraId="4F5B37A4">
            <w:pPr>
              <w:rPr>
                <w:rFonts w:hint="eastAsia"/>
                <w:lang w:val="en-US" w:eastAsia="zh-CN"/>
              </w:rPr>
            </w:pPr>
          </w:p>
          <w:p w14:paraId="6FD0F5A0">
            <w:pPr>
              <w:rPr>
                <w:rFonts w:hint="eastAsia"/>
                <w:lang w:val="en-US" w:eastAsia="zh-CN"/>
              </w:rPr>
            </w:pPr>
          </w:p>
          <w:p w14:paraId="3C2CF78D">
            <w:pPr>
              <w:rPr>
                <w:rFonts w:hint="eastAsia"/>
                <w:lang w:val="en-US" w:eastAsia="zh-CN"/>
              </w:rPr>
            </w:pPr>
          </w:p>
          <w:p w14:paraId="670B3ACE">
            <w:pPr>
              <w:rPr>
                <w:rFonts w:hint="eastAsia"/>
                <w:lang w:val="en-US" w:eastAsia="zh-CN"/>
              </w:rPr>
            </w:pPr>
          </w:p>
          <w:p w14:paraId="4E8ED0B2">
            <w:pPr>
              <w:rPr>
                <w:rFonts w:hint="eastAsia"/>
                <w:lang w:val="en-US" w:eastAsia="zh-CN"/>
              </w:rPr>
            </w:pPr>
          </w:p>
          <w:p w14:paraId="72FF17C1">
            <w:pPr>
              <w:rPr>
                <w:rFonts w:hint="eastAsia"/>
                <w:lang w:val="en-US" w:eastAsia="zh-CN"/>
              </w:rPr>
            </w:pPr>
          </w:p>
          <w:p w14:paraId="03F13B6D">
            <w:pPr>
              <w:rPr>
                <w:rFonts w:hint="eastAsia"/>
                <w:lang w:val="en-US" w:eastAsia="zh-CN"/>
              </w:rPr>
            </w:pPr>
          </w:p>
          <w:p w14:paraId="052ABA68">
            <w:pPr>
              <w:rPr>
                <w:rFonts w:hint="eastAsia"/>
                <w:lang w:val="en-US" w:eastAsia="zh-CN"/>
              </w:rPr>
            </w:pPr>
          </w:p>
          <w:p w14:paraId="2CB10099">
            <w:pPr>
              <w:rPr>
                <w:rFonts w:hint="eastAsia"/>
                <w:lang w:val="en-US" w:eastAsia="zh-CN"/>
              </w:rPr>
            </w:pPr>
          </w:p>
          <w:p w14:paraId="58D0C27E">
            <w:pPr>
              <w:rPr>
                <w:rFonts w:hint="eastAsia"/>
                <w:lang w:val="en-US" w:eastAsia="zh-CN"/>
              </w:rPr>
            </w:pPr>
          </w:p>
          <w:p w14:paraId="35AC5943">
            <w:pPr>
              <w:rPr>
                <w:rFonts w:hint="eastAsia"/>
                <w:lang w:val="en-US" w:eastAsia="zh-CN"/>
              </w:rPr>
            </w:pPr>
          </w:p>
          <w:p w14:paraId="685A2469">
            <w:pPr>
              <w:rPr>
                <w:rFonts w:hint="eastAsia"/>
                <w:lang w:val="en-US" w:eastAsia="zh-CN"/>
              </w:rPr>
            </w:pPr>
          </w:p>
          <w:p w14:paraId="2CA378ED">
            <w:pPr>
              <w:rPr>
                <w:rFonts w:hint="eastAsia"/>
                <w:lang w:val="en-US" w:eastAsia="zh-CN"/>
              </w:rPr>
            </w:pPr>
          </w:p>
          <w:p w14:paraId="6A7FD242">
            <w:pPr>
              <w:rPr>
                <w:rFonts w:hint="eastAsia"/>
                <w:lang w:val="en-US" w:eastAsia="zh-CN"/>
              </w:rPr>
            </w:pPr>
          </w:p>
          <w:p w14:paraId="755B4B7A">
            <w:pPr>
              <w:rPr>
                <w:rFonts w:hint="eastAsia"/>
                <w:lang w:val="en-US" w:eastAsia="zh-CN"/>
              </w:rPr>
            </w:pPr>
          </w:p>
          <w:p w14:paraId="47CD002D">
            <w:pPr>
              <w:rPr>
                <w:rFonts w:hint="eastAsia"/>
                <w:lang w:val="en-US" w:eastAsia="zh-CN"/>
              </w:rPr>
            </w:pPr>
          </w:p>
          <w:p w14:paraId="258AF05F">
            <w:pPr>
              <w:rPr>
                <w:rFonts w:hint="eastAsia"/>
                <w:lang w:val="en-US" w:eastAsia="zh-CN"/>
              </w:rPr>
            </w:pPr>
          </w:p>
          <w:p w14:paraId="477D0E07">
            <w:pPr>
              <w:rPr>
                <w:rFonts w:hint="eastAsia"/>
                <w:lang w:val="en-US" w:eastAsia="zh-CN"/>
              </w:rPr>
            </w:pPr>
          </w:p>
          <w:p w14:paraId="0A7A08BF">
            <w:pPr>
              <w:rPr>
                <w:rFonts w:hint="eastAsia"/>
                <w:lang w:val="en-US" w:eastAsia="zh-CN"/>
              </w:rPr>
            </w:pPr>
          </w:p>
          <w:p w14:paraId="3880C98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094A8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5000" w:type="pct"/>
            <w:gridSpan w:val="2"/>
          </w:tcPr>
          <w:p w14:paraId="6054944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简要述评</w:t>
            </w:r>
          </w:p>
        </w:tc>
      </w:tr>
      <w:tr w14:paraId="718C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4" w:hRule="atLeast"/>
        </w:trPr>
        <w:tc>
          <w:tcPr>
            <w:tcW w:w="5000" w:type="pct"/>
            <w:gridSpan w:val="2"/>
          </w:tcPr>
          <w:p w14:paraId="790BE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文献创新性：</w:t>
              <w:br/>
              <w:t>彭兰教授是中国新媒体研究的领军学者，本文以"转基因"和"再培育"两个隐喻概念框架审视短视频现象，具有高度理论概括力和前瞻性。发表于核心期刊《新闻界》，学术影响力大。</w:t>
              <w:br/>
              <w:br/>
              <w:t>对本人选题的价值和借鉴意义：</w:t>
              <w:br/>
              <w:t>1. 从"生产力变革"的宏观视角理解短视频，为研究短视频新闻叙事提供了产业背景和技术逻辑基础。</w:t>
              <w:br/>
              <w:t>2. 关于生产主体泛化、分发算法化的分析有助于理解短视频新闻叙事为何呈现特定形态。</w:t>
              <w:br/>
              <w:t>3. "再培育"的讨论与主流媒体短视频新闻的规范化发展直接相关。</w:t>
              <w:br/>
              <w:br/>
              <w:t>阅读后收获：</w:t>
              <w:br/>
              <w:t>理解了短视频不仅仅是一种内容形态，更是一种全新的生产力组织方式，这为从更深层次理解短视频新闻叙事的结构性特征提供了重要视角。</w:t>
            </w:r>
          </w:p>
          <w:p w14:paraId="3F8012AA">
            <w:pPr>
              <w:rPr>
                <w:rFonts w:hint="eastAsia"/>
                <w:lang w:val="en-US" w:eastAsia="zh-CN"/>
              </w:rPr>
            </w:pPr>
          </w:p>
          <w:p w14:paraId="0455EAC4">
            <w:pPr>
              <w:rPr>
                <w:rFonts w:hint="eastAsia"/>
                <w:lang w:val="en-US" w:eastAsia="zh-CN"/>
              </w:rPr>
            </w:pPr>
          </w:p>
          <w:p w14:paraId="2925449C">
            <w:pPr>
              <w:rPr>
                <w:rFonts w:hint="eastAsia"/>
                <w:lang w:val="en-US" w:eastAsia="zh-CN"/>
              </w:rPr>
            </w:pPr>
          </w:p>
          <w:p w14:paraId="2D528860">
            <w:pPr>
              <w:rPr>
                <w:rFonts w:hint="eastAsia"/>
                <w:lang w:val="en-US" w:eastAsia="zh-CN"/>
              </w:rPr>
            </w:pPr>
          </w:p>
          <w:p w14:paraId="6B9F41BC">
            <w:pPr>
              <w:rPr>
                <w:rFonts w:hint="eastAsia"/>
                <w:lang w:val="en-US" w:eastAsia="zh-CN"/>
              </w:rPr>
            </w:pPr>
          </w:p>
          <w:p w14:paraId="2356C3CC">
            <w:pPr>
              <w:rPr>
                <w:rFonts w:hint="eastAsia"/>
                <w:lang w:val="en-US" w:eastAsia="zh-CN"/>
              </w:rPr>
            </w:pPr>
          </w:p>
          <w:p w14:paraId="32C1A50E">
            <w:pPr>
              <w:rPr>
                <w:rFonts w:hint="eastAsia"/>
                <w:lang w:val="en-US" w:eastAsia="zh-CN"/>
              </w:rPr>
            </w:pPr>
          </w:p>
          <w:p w14:paraId="2F7F2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5734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09CAE9">
                          <w:pPr>
                            <w:pStyle w:val="2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09CAE9">
                    <w:pPr>
                      <w:pStyle w:val="2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10A95">
    <w:pPr>
      <w:pStyle w:val="3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792605" cy="311150"/>
          <wp:effectExtent l="0" t="0" r="0" b="10160"/>
          <wp:docPr id="1" name="图片 1" descr="河北环境工程学院-校名和校徽-18 - 副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河北环境工程学院-校名和校徽-18 - 副本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2605" cy="311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0948E9"/>
    <w:rsid w:val="190E6095"/>
    <w:rsid w:val="1F7560A3"/>
    <w:rsid w:val="260F62B9"/>
    <w:rsid w:val="3FB23A75"/>
    <w:rsid w:val="7F92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1118</Words>
  <Characters>1152</Characters>
  <Lines>0</Lines>
  <Paragraphs>0</Paragraphs>
  <TotalTime>15</TotalTime>
  <ScaleCrop>false</ScaleCrop>
  <LinksUpToDate>false</LinksUpToDate>
  <CharactersWithSpaces>1429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2021-09-30T12:10:00Z</dcterms:created>
  <dc:creator>Administrator</dc:creator>
  <cp:lastModifiedBy>葛涵</cp:lastModifiedBy>
  <cp:lastPrinted>2021-09-30T12:36:00Z</cp:lastPrinted>
  <dcterms:modified xsi:type="dcterms:W3CDTF">2026-03-17T07:54:00Z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460668179E054C79B5C1DF2B598A4EF7_13</vt:lpwstr>
  </property>
</Properties>
</file>