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4A3BF">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ascii="黑体" w:hAnsi="黑体" w:eastAsia="黑体" w:cs="黑体"/>
          <w:b w:val="0"/>
          <w:bCs w:val="0"/>
          <w:sz w:val="32"/>
          <w:szCs w:val="32"/>
          <w:lang w:val="en-US" w:eastAsia="zh-CN"/>
        </w:rPr>
      </w:pPr>
      <w:bookmarkStart w:id="0" w:name="_GoBack"/>
      <w:bookmarkEnd w:id="0"/>
      <w:r>
        <w:rPr>
          <w:rFonts w:hint="eastAsia" w:ascii="黑体" w:hAnsi="黑体" w:eastAsia="黑体" w:cs="黑体"/>
          <w:b w:val="0"/>
          <w:bCs w:val="0"/>
          <w:sz w:val="32"/>
          <w:szCs w:val="32"/>
          <w:lang w:val="en-US" w:eastAsia="zh-CN"/>
        </w:rPr>
        <w:t>文献阅读笔记</w:t>
      </w:r>
    </w:p>
    <w:p w14:paraId="30F9863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学生姓名</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r>
        <w:rPr>
          <w:rFonts w:hint="eastAsia" w:ascii="仿宋" w:hAnsi="仿宋" w:eastAsia="仿宋" w:cs="仿宋"/>
          <w:b/>
          <w:bCs/>
          <w:sz w:val="28"/>
          <w:szCs w:val="28"/>
          <w:lang w:val="en-US" w:eastAsia="zh-CN"/>
        </w:rPr>
        <w:t>学    号：</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50EF82A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专业班级：</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 xml:space="preserve">     </w:t>
      </w:r>
      <w:r>
        <w:rPr>
          <w:rFonts w:hint="eastAsia" w:ascii="仿宋" w:hAnsi="仿宋" w:eastAsia="仿宋" w:cs="仿宋"/>
          <w:b/>
          <w:bCs/>
          <w:sz w:val="28"/>
          <w:szCs w:val="28"/>
          <w:lang w:val="en-US" w:eastAsia="zh-CN"/>
        </w:rPr>
        <w:t>指导教师：</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12FBDC1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毕业论文题目：</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tbl>
      <w:tblPr>
        <w:tblStyle w:val="5"/>
        <w:tblW w:w="4903" w:type="pct"/>
        <w:tblInd w:w="1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6"/>
        <w:gridCol w:w="8101"/>
      </w:tblGrid>
      <w:tr w14:paraId="20934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1DCBCDC6">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文献标题</w:t>
            </w:r>
          </w:p>
        </w:tc>
        <w:tc>
          <w:tcPr>
            <w:tcW w:w="4215" w:type="pct"/>
          </w:tcPr>
          <w:p w14:paraId="332A560C">
            <w:pPr>
              <w:rPr>
                <w:rFonts w:hint="eastAsia" w:ascii="仿宋" w:hAnsi="仿宋" w:eastAsia="仿宋" w:cs="仿宋"/>
                <w:sz w:val="28"/>
                <w:szCs w:val="28"/>
                <w:lang w:val="en-US" w:eastAsia="zh-CN"/>
              </w:rPr>
            </w:pPr>
            <w:r>
              <w:t>央视新闻抖音号短视频的新闻叙事研究</w:t>
            </w:r>
          </w:p>
        </w:tc>
      </w:tr>
      <w:tr w14:paraId="6DDC8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54A0E4BC">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文献来源</w:t>
            </w:r>
          </w:p>
        </w:tc>
        <w:tc>
          <w:tcPr>
            <w:tcW w:w="4215" w:type="pct"/>
          </w:tcPr>
          <w:p w14:paraId="5A36FBD4">
            <w:pPr>
              <w:rPr>
                <w:rFonts w:hint="eastAsia" w:ascii="仿宋" w:hAnsi="仿宋" w:eastAsia="仿宋" w:cs="仿宋"/>
                <w:sz w:val="28"/>
                <w:szCs w:val="28"/>
                <w:lang w:val="en-US" w:eastAsia="zh-CN"/>
              </w:rPr>
            </w:pPr>
            <w:r>
              <w:t>河北大学，2023年硕士学位论文</w:t>
            </w:r>
          </w:p>
        </w:tc>
      </w:tr>
      <w:tr w14:paraId="31F3F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6D682FB1">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文献作者</w:t>
            </w:r>
          </w:p>
        </w:tc>
        <w:tc>
          <w:tcPr>
            <w:tcW w:w="4215" w:type="pct"/>
          </w:tcPr>
          <w:p w14:paraId="29A3E50C">
            <w:pPr>
              <w:rPr>
                <w:rFonts w:hint="eastAsia" w:ascii="仿宋" w:hAnsi="仿宋" w:eastAsia="仿宋" w:cs="仿宋"/>
                <w:sz w:val="28"/>
                <w:szCs w:val="28"/>
                <w:lang w:val="en-US" w:eastAsia="zh-CN"/>
              </w:rPr>
            </w:pPr>
            <w:r>
              <w:t>李彤</w:t>
            </w:r>
          </w:p>
        </w:tc>
      </w:tr>
      <w:tr w14:paraId="7F029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79B0D358">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刊物级别</w:t>
            </w:r>
          </w:p>
        </w:tc>
        <w:tc>
          <w:tcPr>
            <w:tcW w:w="4215" w:type="pct"/>
          </w:tcPr>
          <w:p w14:paraId="2DDDCE8A">
            <w:pPr>
              <w:ind w:firstLine="1120" w:firstLineChars="400"/>
              <w:rPr>
                <w:rFonts w:hint="eastAsia" w:ascii="仿宋" w:hAnsi="仿宋" w:eastAsia="仿宋" w:cs="仿宋"/>
                <w:sz w:val="28"/>
                <w:szCs w:val="28"/>
                <w:lang w:val="en-US" w:eastAsia="zh-CN"/>
              </w:rPr>
            </w:pPr>
            <w:r>
              <w:t>□核心期刊             □普通期刊</w:t>
              <w:br/>
              <w:t>☑硕士学位论文</w:t>
            </w:r>
          </w:p>
        </w:tc>
      </w:tr>
      <w:tr w14:paraId="369E7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222A32BC">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文献摘要</w:t>
            </w:r>
          </w:p>
        </w:tc>
      </w:tr>
      <w:tr w14:paraId="0FAA0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tcPr>
          <w:p w14:paraId="399F10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摘要：央视新闻作为国家级主流媒体的代表，其抖音号在短视频新闻传播领域具有标杆意义。本文以央视新闻抖音号为研究对象，运用叙事学理论对其短视频新闻进行系统分析，从叙事主题、叙事结构、叙事视角、叙事话语等维度探讨其新闻叙事的策略与特征，并与人民日报等其他主流媒体进行比较分析，揭示央视新闻在短视频平台的独特叙事风格。</w:t>
              <w:br/>
              <w:br/>
              <w:t>关键词：央视新闻；抖音号；短视频新闻；新闻叙事；叙事策略</w:t>
            </w:r>
          </w:p>
          <w:p w14:paraId="14EA2450">
            <w:pPr>
              <w:rPr>
                <w:rFonts w:hint="eastAsia" w:ascii="仿宋" w:hAnsi="仿宋" w:eastAsia="仿宋" w:cs="仿宋"/>
                <w:lang w:val="en-US" w:eastAsia="zh-CN"/>
              </w:rPr>
            </w:pPr>
          </w:p>
          <w:p w14:paraId="4876DB41">
            <w:pPr>
              <w:rPr>
                <w:rFonts w:hint="eastAsia" w:ascii="仿宋" w:hAnsi="仿宋" w:eastAsia="仿宋" w:cs="仿宋"/>
                <w:lang w:val="en-US" w:eastAsia="zh-CN"/>
              </w:rPr>
            </w:pPr>
          </w:p>
          <w:p w14:paraId="6C2E02B3">
            <w:pPr>
              <w:rPr>
                <w:rFonts w:hint="eastAsia" w:ascii="仿宋" w:hAnsi="仿宋" w:eastAsia="仿宋" w:cs="仿宋"/>
                <w:lang w:val="en-US" w:eastAsia="zh-CN"/>
              </w:rPr>
            </w:pPr>
          </w:p>
          <w:p w14:paraId="5686D64B">
            <w:pPr>
              <w:rPr>
                <w:rFonts w:hint="eastAsia" w:ascii="仿宋" w:hAnsi="仿宋" w:eastAsia="仿宋" w:cs="仿宋"/>
                <w:lang w:val="en-US" w:eastAsia="zh-CN"/>
              </w:rPr>
            </w:pPr>
          </w:p>
          <w:p w14:paraId="46CCA9CC">
            <w:pPr>
              <w:rPr>
                <w:rFonts w:hint="eastAsia" w:ascii="仿宋" w:hAnsi="仿宋" w:eastAsia="仿宋" w:cs="仿宋"/>
                <w:lang w:val="en-US" w:eastAsia="zh-CN"/>
              </w:rPr>
            </w:pPr>
          </w:p>
          <w:p w14:paraId="5D5462A5">
            <w:pPr>
              <w:rPr>
                <w:rFonts w:hint="eastAsia" w:ascii="仿宋" w:hAnsi="仿宋" w:eastAsia="仿宋" w:cs="仿宋"/>
                <w:lang w:val="en-US" w:eastAsia="zh-CN"/>
              </w:rPr>
            </w:pPr>
          </w:p>
          <w:p w14:paraId="5460ABE3">
            <w:pPr>
              <w:rPr>
                <w:rFonts w:hint="eastAsia" w:ascii="仿宋" w:hAnsi="仿宋" w:eastAsia="仿宋" w:cs="仿宋"/>
                <w:lang w:val="en-US" w:eastAsia="zh-CN"/>
              </w:rPr>
            </w:pPr>
          </w:p>
          <w:p w14:paraId="55339DB0">
            <w:pPr>
              <w:rPr>
                <w:rFonts w:hint="eastAsia" w:ascii="仿宋" w:hAnsi="仿宋" w:eastAsia="仿宋" w:cs="仿宋"/>
                <w:lang w:val="en-US" w:eastAsia="zh-CN"/>
              </w:rPr>
            </w:pPr>
          </w:p>
          <w:p w14:paraId="0FC5CF41">
            <w:pPr>
              <w:rPr>
                <w:rFonts w:hint="eastAsia" w:ascii="仿宋" w:hAnsi="仿宋" w:eastAsia="仿宋" w:cs="仿宋"/>
                <w:lang w:val="en-US" w:eastAsia="zh-CN"/>
              </w:rPr>
            </w:pPr>
          </w:p>
          <w:p w14:paraId="0F982243">
            <w:pPr>
              <w:rPr>
                <w:rFonts w:hint="eastAsia" w:ascii="仿宋" w:hAnsi="仿宋" w:eastAsia="仿宋" w:cs="仿宋"/>
                <w:lang w:val="en-US" w:eastAsia="zh-CN"/>
              </w:rPr>
            </w:pPr>
          </w:p>
          <w:p w14:paraId="701C1727">
            <w:pPr>
              <w:rPr>
                <w:rFonts w:hint="eastAsia" w:ascii="仿宋" w:hAnsi="仿宋" w:eastAsia="仿宋" w:cs="仿宋"/>
                <w:lang w:val="en-US" w:eastAsia="zh-CN"/>
              </w:rPr>
            </w:pPr>
          </w:p>
        </w:tc>
      </w:tr>
      <w:tr w14:paraId="3AB35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4CD5668D">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阅读笔记</w:t>
            </w:r>
          </w:p>
        </w:tc>
      </w:tr>
      <w:tr w14:paraId="1FDBE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4" w:hRule="atLeast"/>
        </w:trPr>
        <w:tc>
          <w:tcPr>
            <w:tcW w:w="5000" w:type="pct"/>
            <w:gridSpan w:val="2"/>
          </w:tcPr>
          <w:p w14:paraId="714423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研究对象：</w:t>
              <w:br/>
              <w:t>央视新闻抖音号发布的短视频新闻内容，聚焦其叙事策略与特征。</w:t>
              <w:br/>
              <w:br/>
              <w:t>研究目的：</w:t>
              <w:br/>
              <w:t>系统分析央视新闻抖音号短视频新闻的叙事特征，总结国家级主流媒体在短视频平台的叙事策略，并通过与其他媒体的比较揭示其独特性。</w:t>
              <w:br/>
              <w:br/>
              <w:t>研究方法、理论：</w:t>
              <w:br/>
              <w:t>1. 叙事学理论：运用经典叙事学的分析工具（叙事视角、叙事时间、叙事结构等）。</w:t>
              <w:br/>
              <w:t>2. 内容分析法：对央视新闻抖音号短视频新闻样本进行系统的量化分析。</w:t>
              <w:br/>
              <w:t>3. 比较研究法：将央视新闻与人民日报、新华社等媒体的抖音号进行对比。</w:t>
              <w:br/>
              <w:t>4. 个案分析法：对典型案例进行深度解读。</w:t>
              <w:br/>
              <w:br/>
              <w:t>研究过程（思路）：</w:t>
              <w:br/>
              <w:t>第一，梳理央视新闻抖音号的发展历程与账号定位；</w:t>
              <w:br/>
              <w:t>第二，分析叙事主题特征：时政新闻占比高、国际新闻特色突出、重大事件报道为核心；</w:t>
              <w:br/>
              <w:t>第三，分析叙事结构：以新闻现场直击式结构为主，辅以专题式和系列式叙事结构；</w:t>
              <w:br/>
              <w:t>第四，分析叙事视角：以全知视角为主，记者出镜报道形成有限视角叙事；</w:t>
              <w:br/>
              <w:t>第五，分析叙事话语：视觉权威性强（高质量画面）、声音层次丰富（主播配音+现场声）、字幕信息量大；</w:t>
              <w:br/>
              <w:t>第六，与人民日报等进行比较分析；</w:t>
              <w:br/>
              <w:t>第七，总结问题与建议。</w:t>
              <w:br/>
              <w:br/>
              <w:t>主要观点及结论：</w:t>
              <w:br/>
              <w:t>1. 央视新闻抖音号叙事主题以时政和国际新闻为核心，体现国家级媒体的定位与权威性。</w:t>
              <w:br/>
              <w:t>2. 叙事结构以现场直击式为主导，注重第一时间呈现新闻现场，时效性和现场感是核心优势。</w:t>
              <w:br/>
              <w:t>3. 央视新闻的画面质量和声音层次明显优于其他主流媒体抖音号，视听品质成为品牌标识。</w:t>
              <w:br/>
              <w:t>4. 与人民日报相比，央视新闻更偏重硬新闻和权威发布，人民日报则更注重民生温度和情感连接。</w:t>
              <w:br/>
              <w:t>5. 存在的不足：互动性弱于人民日报、内容亲和力有待提升、竖屏叙事语言有待进一步开发。</w:t>
            </w:r>
          </w:p>
          <w:p w14:paraId="2BA0DB6C">
            <w:pPr>
              <w:rPr>
                <w:rFonts w:hint="eastAsia"/>
                <w:lang w:val="en-US" w:eastAsia="zh-CN"/>
              </w:rPr>
            </w:pPr>
          </w:p>
          <w:p w14:paraId="72AAD50B">
            <w:pPr>
              <w:rPr>
                <w:rFonts w:hint="eastAsia"/>
                <w:lang w:val="en-US" w:eastAsia="zh-CN"/>
              </w:rPr>
            </w:pPr>
          </w:p>
          <w:p w14:paraId="46A65BFE">
            <w:pPr>
              <w:rPr>
                <w:rFonts w:hint="eastAsia"/>
                <w:lang w:val="en-US" w:eastAsia="zh-CN"/>
              </w:rPr>
            </w:pPr>
          </w:p>
          <w:p w14:paraId="10863C26">
            <w:pPr>
              <w:rPr>
                <w:rFonts w:hint="eastAsia"/>
                <w:lang w:val="en-US" w:eastAsia="zh-CN"/>
              </w:rPr>
            </w:pPr>
          </w:p>
          <w:p w14:paraId="375F4DDD">
            <w:pPr>
              <w:rPr>
                <w:rFonts w:hint="eastAsia"/>
                <w:lang w:val="en-US" w:eastAsia="zh-CN"/>
              </w:rPr>
            </w:pPr>
          </w:p>
          <w:p w14:paraId="6940254B">
            <w:pPr>
              <w:rPr>
                <w:rFonts w:hint="eastAsia"/>
                <w:lang w:val="en-US" w:eastAsia="zh-CN"/>
              </w:rPr>
            </w:pPr>
          </w:p>
          <w:p w14:paraId="24467C23">
            <w:pPr>
              <w:rPr>
                <w:rFonts w:hint="eastAsia"/>
                <w:lang w:val="en-US" w:eastAsia="zh-CN"/>
              </w:rPr>
            </w:pPr>
          </w:p>
          <w:p w14:paraId="79C8F635">
            <w:pPr>
              <w:rPr>
                <w:rFonts w:hint="eastAsia"/>
                <w:lang w:val="en-US" w:eastAsia="zh-CN"/>
              </w:rPr>
            </w:pPr>
          </w:p>
          <w:p w14:paraId="6DC2BB8C">
            <w:pPr>
              <w:rPr>
                <w:rFonts w:hint="eastAsia"/>
                <w:lang w:val="en-US" w:eastAsia="zh-CN"/>
              </w:rPr>
            </w:pPr>
          </w:p>
          <w:p w14:paraId="7D865A5E">
            <w:pPr>
              <w:rPr>
                <w:rFonts w:hint="eastAsia"/>
                <w:lang w:val="en-US" w:eastAsia="zh-CN"/>
              </w:rPr>
            </w:pPr>
          </w:p>
          <w:p w14:paraId="2CC5F0CE">
            <w:pPr>
              <w:rPr>
                <w:rFonts w:hint="eastAsia"/>
                <w:lang w:val="en-US" w:eastAsia="zh-CN"/>
              </w:rPr>
            </w:pPr>
          </w:p>
          <w:p w14:paraId="27DBEFD9">
            <w:pPr>
              <w:rPr>
                <w:rFonts w:hint="eastAsia"/>
                <w:lang w:val="en-US" w:eastAsia="zh-CN"/>
              </w:rPr>
            </w:pPr>
          </w:p>
          <w:p w14:paraId="4F5B37A4">
            <w:pPr>
              <w:rPr>
                <w:rFonts w:hint="eastAsia"/>
                <w:lang w:val="en-US" w:eastAsia="zh-CN"/>
              </w:rPr>
            </w:pPr>
          </w:p>
          <w:p w14:paraId="6FD0F5A0">
            <w:pPr>
              <w:rPr>
                <w:rFonts w:hint="eastAsia"/>
                <w:lang w:val="en-US" w:eastAsia="zh-CN"/>
              </w:rPr>
            </w:pPr>
          </w:p>
          <w:p w14:paraId="3C2CF78D">
            <w:pPr>
              <w:rPr>
                <w:rFonts w:hint="eastAsia"/>
                <w:lang w:val="en-US" w:eastAsia="zh-CN"/>
              </w:rPr>
            </w:pPr>
          </w:p>
          <w:p w14:paraId="670B3ACE">
            <w:pPr>
              <w:rPr>
                <w:rFonts w:hint="eastAsia"/>
                <w:lang w:val="en-US" w:eastAsia="zh-CN"/>
              </w:rPr>
            </w:pPr>
          </w:p>
          <w:p w14:paraId="4E8ED0B2">
            <w:pPr>
              <w:rPr>
                <w:rFonts w:hint="eastAsia"/>
                <w:lang w:val="en-US" w:eastAsia="zh-CN"/>
              </w:rPr>
            </w:pPr>
          </w:p>
          <w:p w14:paraId="72FF17C1">
            <w:pPr>
              <w:rPr>
                <w:rFonts w:hint="eastAsia"/>
                <w:lang w:val="en-US" w:eastAsia="zh-CN"/>
              </w:rPr>
            </w:pPr>
          </w:p>
          <w:p w14:paraId="03F13B6D">
            <w:pPr>
              <w:rPr>
                <w:rFonts w:hint="eastAsia"/>
                <w:lang w:val="en-US" w:eastAsia="zh-CN"/>
              </w:rPr>
            </w:pPr>
          </w:p>
          <w:p w14:paraId="052ABA68">
            <w:pPr>
              <w:rPr>
                <w:rFonts w:hint="eastAsia"/>
                <w:lang w:val="en-US" w:eastAsia="zh-CN"/>
              </w:rPr>
            </w:pPr>
          </w:p>
          <w:p w14:paraId="2CB10099">
            <w:pPr>
              <w:rPr>
                <w:rFonts w:hint="eastAsia"/>
                <w:lang w:val="en-US" w:eastAsia="zh-CN"/>
              </w:rPr>
            </w:pPr>
          </w:p>
          <w:p w14:paraId="58D0C27E">
            <w:pPr>
              <w:rPr>
                <w:rFonts w:hint="eastAsia"/>
                <w:lang w:val="en-US" w:eastAsia="zh-CN"/>
              </w:rPr>
            </w:pPr>
          </w:p>
          <w:p w14:paraId="35AC5943">
            <w:pPr>
              <w:rPr>
                <w:rFonts w:hint="eastAsia"/>
                <w:lang w:val="en-US" w:eastAsia="zh-CN"/>
              </w:rPr>
            </w:pPr>
          </w:p>
          <w:p w14:paraId="685A2469">
            <w:pPr>
              <w:rPr>
                <w:rFonts w:hint="eastAsia"/>
                <w:lang w:val="en-US" w:eastAsia="zh-CN"/>
              </w:rPr>
            </w:pPr>
          </w:p>
          <w:p w14:paraId="2CA378ED">
            <w:pPr>
              <w:rPr>
                <w:rFonts w:hint="eastAsia"/>
                <w:lang w:val="en-US" w:eastAsia="zh-CN"/>
              </w:rPr>
            </w:pPr>
          </w:p>
          <w:p w14:paraId="6A7FD242">
            <w:pPr>
              <w:rPr>
                <w:rFonts w:hint="eastAsia"/>
                <w:lang w:val="en-US" w:eastAsia="zh-CN"/>
              </w:rPr>
            </w:pPr>
          </w:p>
          <w:p w14:paraId="755B4B7A">
            <w:pPr>
              <w:rPr>
                <w:rFonts w:hint="eastAsia"/>
                <w:lang w:val="en-US" w:eastAsia="zh-CN"/>
              </w:rPr>
            </w:pPr>
          </w:p>
          <w:p w14:paraId="47CD002D">
            <w:pPr>
              <w:rPr>
                <w:rFonts w:hint="eastAsia"/>
                <w:lang w:val="en-US" w:eastAsia="zh-CN"/>
              </w:rPr>
            </w:pPr>
          </w:p>
          <w:p w14:paraId="258AF05F">
            <w:pPr>
              <w:rPr>
                <w:rFonts w:hint="eastAsia"/>
                <w:lang w:val="en-US" w:eastAsia="zh-CN"/>
              </w:rPr>
            </w:pPr>
          </w:p>
          <w:p w14:paraId="477D0E07">
            <w:pPr>
              <w:rPr>
                <w:rFonts w:hint="eastAsia"/>
                <w:lang w:val="en-US" w:eastAsia="zh-CN"/>
              </w:rPr>
            </w:pPr>
          </w:p>
          <w:p w14:paraId="0A7A08BF">
            <w:pPr>
              <w:rPr>
                <w:rFonts w:hint="eastAsia"/>
                <w:lang w:val="en-US" w:eastAsia="zh-CN"/>
              </w:rPr>
            </w:pPr>
          </w:p>
          <w:p w14:paraId="3880C984">
            <w:pPr>
              <w:rPr>
                <w:rFonts w:hint="eastAsia" w:ascii="仿宋" w:hAnsi="仿宋" w:eastAsia="仿宋" w:cs="仿宋"/>
                <w:sz w:val="28"/>
                <w:szCs w:val="28"/>
                <w:lang w:val="en-US" w:eastAsia="zh-CN"/>
              </w:rPr>
            </w:pPr>
          </w:p>
        </w:tc>
      </w:tr>
      <w:tr w14:paraId="094A8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5000" w:type="pct"/>
            <w:gridSpan w:val="2"/>
          </w:tcPr>
          <w:p w14:paraId="60549445">
            <w:pPr>
              <w:jc w:val="center"/>
              <w:rPr>
                <w:rFonts w:hint="default" w:ascii="仿宋" w:hAnsi="仿宋" w:eastAsia="仿宋" w:cs="仿宋"/>
                <w:sz w:val="28"/>
                <w:szCs w:val="28"/>
                <w:lang w:val="en-US" w:eastAsia="zh-CN"/>
              </w:rPr>
            </w:pPr>
            <w:r>
              <w:rPr>
                <w:rFonts w:hint="eastAsia" w:ascii="黑体" w:hAnsi="黑体" w:eastAsia="黑体" w:cs="黑体"/>
                <w:b w:val="0"/>
                <w:bCs w:val="0"/>
                <w:sz w:val="28"/>
                <w:szCs w:val="28"/>
                <w:lang w:val="en-US" w:eastAsia="zh-CN"/>
              </w:rPr>
              <w:t>简要述评</w:t>
            </w:r>
          </w:p>
        </w:tc>
      </w:tr>
      <w:tr w14:paraId="718C1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4" w:hRule="atLeast"/>
        </w:trPr>
        <w:tc>
          <w:tcPr>
            <w:tcW w:w="5000" w:type="pct"/>
            <w:gridSpan w:val="2"/>
          </w:tcPr>
          <w:p w14:paraId="790BE8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文献创新性：</w:t>
              <w:br/>
              <w:t>以央视新闻抖音号为专门研究对象，与大量以人民日报为案例的研究形成差异化，比较研究的设计有助于揭示不同主流媒体的叙事个性。</w:t>
              <w:br/>
              <w:br/>
              <w:t>对本人选题的价值和借鉴意义：</w:t>
              <w:br/>
              <w:t>1. 与人民日报的比较分析有助于理解主流媒体短视频叙事的共性与差异。</w:t>
              <w:br/>
              <w:t>2. "现场直击式"叙事结构的归纳对理解新闻短视频的典型叙事模式有参考价值。</w:t>
              <w:br/>
              <w:t>3. 视听品质作为品牌标识的观点对理解叙事话语的差异化功能有启发。</w:t>
              <w:br/>
              <w:br/>
              <w:t>阅读后收获：</w:t>
              <w:br/>
              <w:t>不同主流媒体在短视频平台上形成了差异化的叙事风格，媒体定位深刻影响叙事策略选择。</w:t>
            </w:r>
          </w:p>
          <w:p w14:paraId="3F8012AA">
            <w:pPr>
              <w:rPr>
                <w:rFonts w:hint="eastAsia"/>
                <w:lang w:val="en-US" w:eastAsia="zh-CN"/>
              </w:rPr>
            </w:pPr>
          </w:p>
          <w:p w14:paraId="0455EAC4">
            <w:pPr>
              <w:rPr>
                <w:rFonts w:hint="eastAsia"/>
                <w:lang w:val="en-US" w:eastAsia="zh-CN"/>
              </w:rPr>
            </w:pPr>
          </w:p>
          <w:p w14:paraId="2925449C">
            <w:pPr>
              <w:rPr>
                <w:rFonts w:hint="eastAsia"/>
                <w:lang w:val="en-US" w:eastAsia="zh-CN"/>
              </w:rPr>
            </w:pPr>
          </w:p>
          <w:p w14:paraId="2D528860">
            <w:pPr>
              <w:rPr>
                <w:rFonts w:hint="eastAsia"/>
                <w:lang w:val="en-US" w:eastAsia="zh-CN"/>
              </w:rPr>
            </w:pPr>
          </w:p>
          <w:p w14:paraId="6B9F41BC">
            <w:pPr>
              <w:rPr>
                <w:rFonts w:hint="eastAsia"/>
                <w:lang w:val="en-US" w:eastAsia="zh-CN"/>
              </w:rPr>
            </w:pPr>
          </w:p>
          <w:p w14:paraId="2356C3CC">
            <w:pPr>
              <w:rPr>
                <w:rFonts w:hint="eastAsia"/>
                <w:lang w:val="en-US" w:eastAsia="zh-CN"/>
              </w:rPr>
            </w:pPr>
          </w:p>
          <w:p w14:paraId="32C1A50E">
            <w:pPr>
              <w:rPr>
                <w:rFonts w:hint="eastAsia"/>
                <w:lang w:val="en-US" w:eastAsia="zh-CN"/>
              </w:rPr>
            </w:pPr>
          </w:p>
          <w:p w14:paraId="2F7F25E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5734D">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10A95">
    <w:pPr>
      <w:pStyle w:val="3"/>
      <w:jc w:val="center"/>
      <w:rPr>
        <w:rFonts w:hint="eastAsia" w:eastAsiaTheme="minorEastAsia"/>
        <w:lang w:eastAsia="zh-CN"/>
      </w:rPr>
    </w:pPr>
    <w:r>
      <w:rPr>
        <w:rFonts w:hint="eastAsia" w:eastAsiaTheme="minorEastAsia"/>
        <w:lang w:eastAsia="zh-CN"/>
      </w:rPr>
      <w:drawing>
        <wp:inline distT="0" distB="0" distL="114300" distR="114300">
          <wp:extent cx="1792605" cy="311150"/>
          <wp:effectExtent l="0" t="0" r="0" b="10160"/>
          <wp:docPr id="1" name="图片 1" descr="河北环境工程学院-校名和校徽-18 -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河北环境工程学院-校名和校徽-18 - 副本"/>
                  <pic:cNvPicPr>
                    <a:picLocks noChangeAspect="1"/>
                  </pic:cNvPicPr>
                </pic:nvPicPr>
                <pic:blipFill>
                  <a:blip r:embed="rId1"/>
                  <a:stretch>
                    <a:fillRect/>
                  </a:stretch>
                </pic:blipFill>
                <pic:spPr>
                  <a:xfrm>
                    <a:off x="0" y="0"/>
                    <a:ext cx="1792605" cy="3111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0948E9"/>
    <w:rsid w:val="190E6095"/>
    <w:rsid w:val="1F7560A3"/>
    <w:rsid w:val="260F62B9"/>
    <w:rsid w:val="3FB23A75"/>
    <w:rsid w:val="7F9238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1118</Words>
  <Characters>1152</Characters>
  <Lines>0</Lines>
  <Paragraphs>0</Paragraphs>
  <TotalTime>15</TotalTime>
  <ScaleCrop>false</ScaleCrop>
  <LinksUpToDate>false</LinksUpToDate>
  <CharactersWithSpaces>1429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2021-09-30T12:10:00Z</dcterms:created>
  <dc:creator>Administrator</dc:creator>
  <cp:lastModifiedBy>葛涵</cp:lastModifiedBy>
  <cp:lastPrinted>2021-09-30T12:36:00Z</cp:lastPrinted>
  <dcterms:modified xsi:type="dcterms:W3CDTF">2026-03-17T07:54:00Z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460668179E054C79B5C1DF2B598A4EF7_13</vt:lpwstr>
  </property>
</Properties>
</file>