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4A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文献阅读笔记</w:t>
      </w:r>
    </w:p>
    <w:p w14:paraId="30F9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学生姓名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：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    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50EF8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专业班级：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指导教师：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2FBD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毕业论文题目：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tbl>
      <w:tblPr>
        <w:tblStyle w:val="5"/>
        <w:tblW w:w="4903" w:type="pct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8101"/>
      </w:tblGrid>
      <w:tr w14:paraId="2093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1DCBCD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文献标题</w:t>
            </w:r>
          </w:p>
        </w:tc>
        <w:tc>
          <w:tcPr>
            <w:tcW w:w="4215" w:type="pct"/>
          </w:tcPr>
          <w:p w14:paraId="332A56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人民日报抖音号短视频新闻叙事研究</w:t>
            </w:r>
          </w:p>
        </w:tc>
      </w:tr>
      <w:tr w14:paraId="6DDC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54A0E4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文献来源</w:t>
            </w:r>
          </w:p>
        </w:tc>
        <w:tc>
          <w:tcPr>
            <w:tcW w:w="4215" w:type="pct"/>
          </w:tcPr>
          <w:p w14:paraId="5A36FBD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渤海大学，2022年硕士学位论文</w:t>
            </w:r>
          </w:p>
        </w:tc>
      </w:tr>
      <w:tr w14:paraId="31F3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6D682F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文献作者</w:t>
            </w:r>
          </w:p>
        </w:tc>
        <w:tc>
          <w:tcPr>
            <w:tcW w:w="4215" w:type="pct"/>
          </w:tcPr>
          <w:p w14:paraId="29A3E5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穆才群</w:t>
            </w:r>
          </w:p>
        </w:tc>
      </w:tr>
      <w:tr w14:paraId="7F02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79B0D3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刊物级别</w:t>
            </w:r>
          </w:p>
        </w:tc>
        <w:tc>
          <w:tcPr>
            <w:tcW w:w="4215" w:type="pct"/>
          </w:tcPr>
          <w:p w14:paraId="2DDDCE8A">
            <w:pPr>
              <w:ind w:firstLine="1120" w:firstLineChars="4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□核心期刊             □普通期刊</w:t>
              <w:br/>
              <w:t>☑硕士学位论文</w:t>
            </w:r>
          </w:p>
        </w:tc>
      </w:tr>
      <w:tr w14:paraId="369E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22A32B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文献摘要</w:t>
            </w:r>
          </w:p>
        </w:tc>
      </w:tr>
      <w:tr w14:paraId="0FAA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2"/>
          </w:tcPr>
          <w:p w14:paraId="399F1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摘要：随着短视频平台的迅速发展，主流媒体纷纷入驻抖音等短视频平台进行新闻传播。人民日报作为我国最具影响力的主流媒体之一，其抖音号的短视频新闻实践具有典型性和代表性。本文以人民日报抖音号为研究对象，运用叙事学理论，从叙事内容、叙事话语、叙事受众三个维度对其短视频新闻的叙事特征进行系统分析，揭示主流媒体在短视频平台的新闻叙事规律，并针对存在的问题提出优化建议。</w:t>
              <w:br/>
              <w:br/>
              <w:t>关键词：人民日报抖音号；短视频新闻；新闻叙事；叙事学；主流媒体</w:t>
            </w:r>
          </w:p>
          <w:p w14:paraId="14EA245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876DB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6C2E02B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686D64B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6CCA9CC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D5462A5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460ABE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5339DB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C5CF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98224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701C1727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  <w:tr w14:paraId="3AB3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4CD5668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阅读笔记</w:t>
            </w:r>
          </w:p>
        </w:tc>
      </w:tr>
      <w:tr w14:paraId="1FDB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4" w:hRule="atLeast"/>
        </w:trPr>
        <w:tc>
          <w:tcPr>
            <w:tcW w:w="5000" w:type="pct"/>
            <w:gridSpan w:val="2"/>
          </w:tcPr>
          <w:p w14:paraId="71442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研究对象：</w:t>
              <w:br/>
              <w:t>人民日报抖音号发布的短视频新闻，从叙事学角度进行全面系统的研究。</w:t>
              <w:br/>
              <w:br/>
              <w:t>研究目的：</w:t>
              <w:br/>
              <w:t>运用叙事学理论系统分析人民日报抖音号短视频新闻的叙事特征，揭示主流媒体在短视频平台进行新闻叙事的规律，为主流媒体优化短视频新闻传播提供理论参考。</w:t>
              <w:br/>
              <w:br/>
              <w:t>研究方法、理论：</w:t>
              <w:br/>
              <w:t>1. 叙事学理论：综合运用热奈特的叙事话语理论、查特曼的故事与话语理论等。</w:t>
              <w:br/>
              <w:t>2. 内容分析法：对人民日报抖音号短视频新闻进行大样本的系统编码分析。</w:t>
              <w:br/>
              <w:t>3. 案例分析法：选取高传播量的典型视频进行深入叙事解读。</w:t>
              <w:br/>
              <w:t>4. 文本分析法：对叙事文本的结构、语言、视听符号进行细致分析。</w:t>
              <w:br/>
              <w:br/>
              <w:t>研究过程（思路）：</w:t>
              <w:br/>
              <w:t>第一，界定短视频新闻叙事的概念，构建基于叙事内容、叙事话语、叙事受众的三维分析框架；</w:t>
              <w:br/>
              <w:t>第二，从叙事内容维度分析：叙事主题分布（时政、社会、文化、体育、科技等）、叙事人物设置（英雄人物、普通个体、集体群像）、叙事事件选择（突发事件、日常事件、纪念事件）；</w:t>
              <w:br/>
              <w:t>第三，从叙事话语维度分析：叙事时间（时序、时距、频率）、叙事视角（零聚焦、内聚焦、外聚焦）、叙事声音（画外音、同期声、字幕旁白）、视听修辞（蒙太奇、特效、音乐配合）；</w:t>
              <w:br/>
              <w:t>第四，从叙事受众维度分析：受众互动模式、评论区叙事参与、共情反应等；</w:t>
              <w:br/>
              <w:t>第五，总结叙事特征、指出问题并提出优化建议。</w:t>
              <w:br/>
              <w:br/>
              <w:t>主要观点及结论：</w:t>
              <w:br/>
              <w:t>1. 人民日报抖音号短视频新闻在叙事内容上呈现主题多元化、人物平民化、事件贴近化的特征。</w:t>
              <w:br/>
              <w:t>2. 叙事话语层面，时间压缩与信息浓缩并行，以零聚焦和内聚焦为主要视角，视听符号协同构建多模态叙事系统。</w:t>
              <w:br/>
              <w:t>3. 叙事受众层面，通过评论区互动形成"二次叙事"，受众从被动接收者转变为叙事参与者。</w:t>
              <w:br/>
              <w:t>4. 存在的问题：部分视频叙事深度不足、同质化现象存在、互动引导有待加强。</w:t>
              <w:br/>
              <w:t>5. 优化建议：加强深度叙事、创新叙事形式、强化互动设计、注重差异化表达。</w:t>
            </w:r>
          </w:p>
          <w:p w14:paraId="2BA0DB6C">
            <w:pPr>
              <w:rPr>
                <w:rFonts w:hint="eastAsia"/>
                <w:lang w:val="en-US" w:eastAsia="zh-CN"/>
              </w:rPr>
            </w:pPr>
          </w:p>
          <w:p w14:paraId="72AAD50B">
            <w:pPr>
              <w:rPr>
                <w:rFonts w:hint="eastAsia"/>
                <w:lang w:val="en-US" w:eastAsia="zh-CN"/>
              </w:rPr>
            </w:pPr>
          </w:p>
          <w:p w14:paraId="46A65BFE">
            <w:pPr>
              <w:rPr>
                <w:rFonts w:hint="eastAsia"/>
                <w:lang w:val="en-US" w:eastAsia="zh-CN"/>
              </w:rPr>
            </w:pPr>
          </w:p>
          <w:p w14:paraId="10863C26">
            <w:pPr>
              <w:rPr>
                <w:rFonts w:hint="eastAsia"/>
                <w:lang w:val="en-US" w:eastAsia="zh-CN"/>
              </w:rPr>
            </w:pPr>
          </w:p>
          <w:p w14:paraId="375F4DDD">
            <w:pPr>
              <w:rPr>
                <w:rFonts w:hint="eastAsia"/>
                <w:lang w:val="en-US" w:eastAsia="zh-CN"/>
              </w:rPr>
            </w:pPr>
          </w:p>
          <w:p w14:paraId="6940254B">
            <w:pPr>
              <w:rPr>
                <w:rFonts w:hint="eastAsia"/>
                <w:lang w:val="en-US" w:eastAsia="zh-CN"/>
              </w:rPr>
            </w:pPr>
          </w:p>
          <w:p w14:paraId="24467C23">
            <w:pPr>
              <w:rPr>
                <w:rFonts w:hint="eastAsia"/>
                <w:lang w:val="en-US" w:eastAsia="zh-CN"/>
              </w:rPr>
            </w:pPr>
          </w:p>
          <w:p w14:paraId="79C8F635">
            <w:pPr>
              <w:rPr>
                <w:rFonts w:hint="eastAsia"/>
                <w:lang w:val="en-US" w:eastAsia="zh-CN"/>
              </w:rPr>
            </w:pPr>
          </w:p>
          <w:p w14:paraId="6DC2BB8C">
            <w:pPr>
              <w:rPr>
                <w:rFonts w:hint="eastAsia"/>
                <w:lang w:val="en-US" w:eastAsia="zh-CN"/>
              </w:rPr>
            </w:pPr>
          </w:p>
          <w:p w14:paraId="7D865A5E">
            <w:pPr>
              <w:rPr>
                <w:rFonts w:hint="eastAsia"/>
                <w:lang w:val="en-US" w:eastAsia="zh-CN"/>
              </w:rPr>
            </w:pPr>
          </w:p>
          <w:p w14:paraId="2CC5F0CE">
            <w:pPr>
              <w:rPr>
                <w:rFonts w:hint="eastAsia"/>
                <w:lang w:val="en-US" w:eastAsia="zh-CN"/>
              </w:rPr>
            </w:pPr>
          </w:p>
          <w:p w14:paraId="27DBEFD9">
            <w:pPr>
              <w:rPr>
                <w:rFonts w:hint="eastAsia"/>
                <w:lang w:val="en-US" w:eastAsia="zh-CN"/>
              </w:rPr>
            </w:pPr>
          </w:p>
          <w:p w14:paraId="4F5B37A4">
            <w:pPr>
              <w:rPr>
                <w:rFonts w:hint="eastAsia"/>
                <w:lang w:val="en-US" w:eastAsia="zh-CN"/>
              </w:rPr>
            </w:pPr>
          </w:p>
          <w:p w14:paraId="6FD0F5A0">
            <w:pPr>
              <w:rPr>
                <w:rFonts w:hint="eastAsia"/>
                <w:lang w:val="en-US" w:eastAsia="zh-CN"/>
              </w:rPr>
            </w:pPr>
          </w:p>
          <w:p w14:paraId="3C2CF78D">
            <w:pPr>
              <w:rPr>
                <w:rFonts w:hint="eastAsia"/>
                <w:lang w:val="en-US" w:eastAsia="zh-CN"/>
              </w:rPr>
            </w:pPr>
          </w:p>
          <w:p w14:paraId="670B3ACE">
            <w:pPr>
              <w:rPr>
                <w:rFonts w:hint="eastAsia"/>
                <w:lang w:val="en-US" w:eastAsia="zh-CN"/>
              </w:rPr>
            </w:pPr>
          </w:p>
          <w:p w14:paraId="4E8ED0B2">
            <w:pPr>
              <w:rPr>
                <w:rFonts w:hint="eastAsia"/>
                <w:lang w:val="en-US" w:eastAsia="zh-CN"/>
              </w:rPr>
            </w:pPr>
          </w:p>
          <w:p w14:paraId="72FF17C1">
            <w:pPr>
              <w:rPr>
                <w:rFonts w:hint="eastAsia"/>
                <w:lang w:val="en-US" w:eastAsia="zh-CN"/>
              </w:rPr>
            </w:pPr>
          </w:p>
          <w:p w14:paraId="03F13B6D">
            <w:pPr>
              <w:rPr>
                <w:rFonts w:hint="eastAsia"/>
                <w:lang w:val="en-US" w:eastAsia="zh-CN"/>
              </w:rPr>
            </w:pPr>
          </w:p>
          <w:p w14:paraId="052ABA68">
            <w:pPr>
              <w:rPr>
                <w:rFonts w:hint="eastAsia"/>
                <w:lang w:val="en-US" w:eastAsia="zh-CN"/>
              </w:rPr>
            </w:pPr>
          </w:p>
          <w:p w14:paraId="2CB10099">
            <w:pPr>
              <w:rPr>
                <w:rFonts w:hint="eastAsia"/>
                <w:lang w:val="en-US" w:eastAsia="zh-CN"/>
              </w:rPr>
            </w:pPr>
          </w:p>
          <w:p w14:paraId="58D0C27E">
            <w:pPr>
              <w:rPr>
                <w:rFonts w:hint="eastAsia"/>
                <w:lang w:val="en-US" w:eastAsia="zh-CN"/>
              </w:rPr>
            </w:pPr>
          </w:p>
          <w:p w14:paraId="35AC5943">
            <w:pPr>
              <w:rPr>
                <w:rFonts w:hint="eastAsia"/>
                <w:lang w:val="en-US" w:eastAsia="zh-CN"/>
              </w:rPr>
            </w:pPr>
          </w:p>
          <w:p w14:paraId="685A2469">
            <w:pPr>
              <w:rPr>
                <w:rFonts w:hint="eastAsia"/>
                <w:lang w:val="en-US" w:eastAsia="zh-CN"/>
              </w:rPr>
            </w:pPr>
          </w:p>
          <w:p w14:paraId="2CA378ED">
            <w:pPr>
              <w:rPr>
                <w:rFonts w:hint="eastAsia"/>
                <w:lang w:val="en-US" w:eastAsia="zh-CN"/>
              </w:rPr>
            </w:pPr>
          </w:p>
          <w:p w14:paraId="6A7FD242">
            <w:pPr>
              <w:rPr>
                <w:rFonts w:hint="eastAsia"/>
                <w:lang w:val="en-US" w:eastAsia="zh-CN"/>
              </w:rPr>
            </w:pPr>
          </w:p>
          <w:p w14:paraId="755B4B7A">
            <w:pPr>
              <w:rPr>
                <w:rFonts w:hint="eastAsia"/>
                <w:lang w:val="en-US" w:eastAsia="zh-CN"/>
              </w:rPr>
            </w:pPr>
          </w:p>
          <w:p w14:paraId="47CD002D">
            <w:pPr>
              <w:rPr>
                <w:rFonts w:hint="eastAsia"/>
                <w:lang w:val="en-US" w:eastAsia="zh-CN"/>
              </w:rPr>
            </w:pPr>
          </w:p>
          <w:p w14:paraId="258AF05F">
            <w:pPr>
              <w:rPr>
                <w:rFonts w:hint="eastAsia"/>
                <w:lang w:val="en-US" w:eastAsia="zh-CN"/>
              </w:rPr>
            </w:pPr>
          </w:p>
          <w:p w14:paraId="477D0E07">
            <w:pPr>
              <w:rPr>
                <w:rFonts w:hint="eastAsia"/>
                <w:lang w:val="en-US" w:eastAsia="zh-CN"/>
              </w:rPr>
            </w:pPr>
          </w:p>
          <w:p w14:paraId="0A7A08BF">
            <w:pPr>
              <w:rPr>
                <w:rFonts w:hint="eastAsia"/>
                <w:lang w:val="en-US" w:eastAsia="zh-CN"/>
              </w:rPr>
            </w:pPr>
          </w:p>
          <w:p w14:paraId="3880C98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094A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5000" w:type="pct"/>
            <w:gridSpan w:val="2"/>
          </w:tcPr>
          <w:p w14:paraId="6054944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简要述评</w:t>
            </w:r>
          </w:p>
        </w:tc>
      </w:tr>
      <w:tr w14:paraId="718C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4" w:hRule="atLeast"/>
        </w:trPr>
        <w:tc>
          <w:tcPr>
            <w:tcW w:w="5000" w:type="pct"/>
            <w:gridSpan w:val="2"/>
          </w:tcPr>
          <w:p w14:paraId="790BE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文献创新性：</w:t>
              <w:br/>
              <w:t>作为硕士论文，本文构建了"叙事内容-叙事话语-叙事受众"三维分析框架，研究体系完整，理论深度较好。将受众维度纳入叙事分析是一个有价值的尝试，突破了传统叙事分析仅关注文本本身的局限。</w:t>
              <w:br/>
              <w:br/>
              <w:t>对本人选题的价值和借鉴意义：</w:t>
              <w:br/>
              <w:t>1. 三维分析框架的构建具有直接的方法论参考价值，特别是"叙事受众"维度的引入。</w:t>
              <w:br/>
              <w:t>2. 对叙事时间（时序、时距、频率）的细致分析为叙事学在短视频新闻中的应用提供了示范。</w:t>
              <w:br/>
              <w:t>3. "二次叙事"概念对理解短视频新闻传播中的受众参与有启发意义。</w:t>
              <w:br/>
              <w:br/>
              <w:t>阅读后收获：</w:t>
              <w:br/>
              <w:t>认识到短视频新闻叙事不仅是单向的文本建构过程，还包含受众参与的互动叙事维度，这是短视频新闻叙事区别于传统新闻叙事的重要特征。</w:t>
            </w:r>
          </w:p>
          <w:p w14:paraId="3F8012AA">
            <w:pPr>
              <w:rPr>
                <w:rFonts w:hint="eastAsia"/>
                <w:lang w:val="en-US" w:eastAsia="zh-CN"/>
              </w:rPr>
            </w:pPr>
          </w:p>
          <w:p w14:paraId="0455EAC4">
            <w:pPr>
              <w:rPr>
                <w:rFonts w:hint="eastAsia"/>
                <w:lang w:val="en-US" w:eastAsia="zh-CN"/>
              </w:rPr>
            </w:pPr>
          </w:p>
          <w:p w14:paraId="2925449C">
            <w:pPr>
              <w:rPr>
                <w:rFonts w:hint="eastAsia"/>
                <w:lang w:val="en-US" w:eastAsia="zh-CN"/>
              </w:rPr>
            </w:pPr>
          </w:p>
          <w:p w14:paraId="2D528860">
            <w:pPr>
              <w:rPr>
                <w:rFonts w:hint="eastAsia"/>
                <w:lang w:val="en-US" w:eastAsia="zh-CN"/>
              </w:rPr>
            </w:pPr>
          </w:p>
          <w:p w14:paraId="6B9F41BC">
            <w:pPr>
              <w:rPr>
                <w:rFonts w:hint="eastAsia"/>
                <w:lang w:val="en-US" w:eastAsia="zh-CN"/>
              </w:rPr>
            </w:pPr>
          </w:p>
          <w:p w14:paraId="2356C3CC">
            <w:pPr>
              <w:rPr>
                <w:rFonts w:hint="eastAsia"/>
                <w:lang w:val="en-US" w:eastAsia="zh-CN"/>
              </w:rPr>
            </w:pPr>
          </w:p>
          <w:p w14:paraId="32C1A50E">
            <w:pPr>
              <w:rPr>
                <w:rFonts w:hint="eastAsia"/>
                <w:lang w:val="en-US" w:eastAsia="zh-CN"/>
              </w:rPr>
            </w:pPr>
          </w:p>
          <w:p w14:paraId="2F7F2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5734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9CAE9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09CAE9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10A95">
    <w:pPr>
      <w:pStyle w:val="3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792605" cy="311150"/>
          <wp:effectExtent l="0" t="0" r="0" b="10160"/>
          <wp:docPr id="1" name="图片 1" descr="河北环境工程学院-校名和校徽-18 - 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河北环境工程学院-校名和校徽-18 - 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2605" cy="311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948E9"/>
    <w:rsid w:val="190E6095"/>
    <w:rsid w:val="1F7560A3"/>
    <w:rsid w:val="260F62B9"/>
    <w:rsid w:val="3FB23A75"/>
    <w:rsid w:val="7F92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1118</Words>
  <Characters>1152</Characters>
  <Lines>0</Lines>
  <Paragraphs>0</Paragraphs>
  <TotalTime>15</TotalTime>
  <ScaleCrop>false</ScaleCrop>
  <LinksUpToDate>false</LinksUpToDate>
  <CharactersWithSpaces>1429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2021-09-30T12:10:00Z</dcterms:created>
  <dc:creator>Administrator</dc:creator>
  <cp:lastModifiedBy>葛涵</cp:lastModifiedBy>
  <cp:lastPrinted>2021-09-30T12:36:00Z</cp:lastPrinted>
  <dcterms:modified xsi:type="dcterms:W3CDTF">2026-03-17T07:54:00Z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460668179E054C79B5C1DF2B598A4EF7_13</vt:lpwstr>
  </property>
</Properties>
</file>