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32"/>
          <w:szCs w:val="32"/>
          <w:lang w:val="en-US" w:eastAsia="zh-CN"/>
        </w:rPr>
      </w:pPr>
      <w:r>
        <w:rPr>
          <w:rFonts w:hint="eastAsia"/>
          <w:lang w:val="en-US" w:eastAsia="zh-CN"/>
        </w:rPr>
        <w:t xml:space="preserve">                       </w:t>
      </w:r>
      <w:r>
        <w:rPr>
          <w:rFonts w:hint="eastAsia" w:ascii="楷体" w:hAnsi="楷体" w:eastAsia="楷体" w:cs="楷体"/>
          <w:sz w:val="32"/>
          <w:szCs w:val="32"/>
          <w:lang w:val="en-US" w:eastAsia="zh-CN"/>
        </w:rPr>
        <w:t xml:space="preserve"> Usage of API</w:t>
      </w:r>
    </w:p>
    <w:p>
      <w:pP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Since our competition, our team has conducted an in-depth study of Citi's API.</w:t>
      </w:r>
    </w:p>
    <w:p>
      <w:pP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We conducted a series of API tests based on the Citi developer hub guidelines.</w:t>
      </w:r>
    </w:p>
    <w:p>
      <w:pP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First, a Citi account was registered as required.</w:t>
      </w:r>
    </w:p>
    <w:p>
      <w:pPr>
        <w:ind w:firstLine="960" w:firstLineChars="3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Then,We logged into the Citi account and started testing the api. Under the Apps navigation bar,We started creating the first app, recording the ClientID and ClientSecret of the app.</w:t>
      </w:r>
    </w:p>
    <w:p>
      <w:pPr>
        <w:ind w:firstLine="960" w:firstLineChars="3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Afterwards, We visited AUTHORIZE of the Citi API and got access token for accessing customer data and using Citi's services.</w:t>
      </w:r>
    </w:p>
    <w:p>
      <w:pPr>
        <w:ind w:firstLine="960" w:firstLineChars="3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Finally, with access token and client ID, the Citi API could be tested. (Note that different types of APIs require different OAuth). Remember to use the Hong Kong area api.</w:t>
      </w:r>
    </w:p>
    <w:p>
      <w:pPr>
        <w:ind w:firstLine="960" w:firstLineChars="3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In view of the fact that our project is an intellectual property trading pool, the Citi API we can use is limited to the money movement, account module . For the money movement module, I initially decided to use three apis.They are Create personal Transfer, Confirm personal Transfer, and Retireve payee list. The first two methods are used for transaction transfer, and the last one is used to query the payment list. For the account module, we initially decided to use the Retrieve transactions method. To echo our block chain technology, it seems necessary to retrieve transaction events.</w:t>
      </w:r>
    </w:p>
    <w:p>
      <w:pPr>
        <w:ind w:firstLine="960" w:firstLineChars="3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We tested the API we need to use. The test results are as follows:</w:t>
      </w:r>
    </w:p>
    <w:p>
      <w:pPr>
        <w:ind w:firstLine="630" w:firstLineChars="300"/>
      </w:pPr>
      <w:r>
        <w:drawing>
          <wp:inline distT="0" distB="0" distL="114300" distR="114300">
            <wp:extent cx="5269865" cy="263652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636520"/>
                    </a:xfrm>
                    <a:prstGeom prst="rect">
                      <a:avLst/>
                    </a:prstGeom>
                    <a:noFill/>
                    <a:ln w="9525">
                      <a:noFill/>
                    </a:ln>
                  </pic:spPr>
                </pic:pic>
              </a:graphicData>
            </a:graphic>
          </wp:inline>
        </w:drawing>
      </w:r>
    </w:p>
    <w:p>
      <w:pPr>
        <w:ind w:firstLine="630" w:firstLineChars="300"/>
      </w:pPr>
    </w:p>
    <w:p>
      <w:pPr>
        <w:ind w:firstLine="630" w:firstLineChars="300"/>
      </w:pPr>
      <w:r>
        <w:drawing>
          <wp:inline distT="0" distB="0" distL="114300" distR="114300">
            <wp:extent cx="5273040" cy="2660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660650"/>
                    </a:xfrm>
                    <a:prstGeom prst="rect">
                      <a:avLst/>
                    </a:prstGeom>
                    <a:noFill/>
                    <a:ln w="9525">
                      <a:noFill/>
                    </a:ln>
                  </pic:spPr>
                </pic:pic>
              </a:graphicData>
            </a:graphic>
          </wp:inline>
        </w:drawing>
      </w:r>
    </w:p>
    <w:p>
      <w:pPr>
        <w:ind w:firstLine="630" w:firstLineChars="300"/>
      </w:pPr>
    </w:p>
    <w:p>
      <w:pPr>
        <w:ind w:firstLine="630" w:firstLineChars="300"/>
        <w:rPr>
          <w:rFonts w:hint="eastAsia"/>
          <w:lang w:val="en-US" w:eastAsia="zh-CN"/>
        </w:rPr>
      </w:pPr>
      <w:r>
        <w:drawing>
          <wp:inline distT="0" distB="0" distL="114300" distR="114300">
            <wp:extent cx="5261610" cy="2595245"/>
            <wp:effectExtent l="0" t="0" r="1143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1610" cy="259524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10FEE"/>
    <w:rsid w:val="3899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qzuser</cp:lastModifiedBy>
  <dcterms:modified xsi:type="dcterms:W3CDTF">2018-08-10T14:34:28Z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