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 w:before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I.   PROYECTO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0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 NOMBRE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HANGAR NOSE DOCK H5-H6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  UBICACIÓN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 Paz, El Salvador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  TIPO DE ESTRUCTURA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Marcos de acero con columnas HSS 16x8x5/16, vigas de marco MCE12-12 y largueros MC4-14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4.  ÁREA DE ANÁLISIS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161.28 m² (10.08 × 16.00 m)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5.  ALTURA DE ESTRUCTURA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Cubierta a un agua: 10.62 m (eje 1) a 9.82 m (eje 4)</w:t>
            </w:r>
          </w:p>
        </w:tc>
      </w:tr>
    </w:tbl>
    <w:p>
      <w:pPr>
        <w:spacing w:after="70" w:before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II.   NORMATIVIDAD E INFORMACIÓN CONSIDERADA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4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</w:t>
            </w:r>
          </w:p>
        </w:tc>
        <w:tc>
          <w:tcPr>
            <w:tcW w:type="dxa" w:w="94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ANSI/AISC 360-16 (STAAD: AISC UNIFIED 2016), STEEL CONSTRUCTION MANUAL 15th EDITION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</w:t>
            </w:r>
          </w:p>
        </w:tc>
        <w:tc>
          <w:tcPr>
            <w:tcW w:type="dxa" w:w="94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REGLAMENTO PARA LA SEGURIDAD ESTRUCTURAL DE LAS CONSTRUCCIONES, EL SALVADOR, 1996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</w:t>
            </w:r>
          </w:p>
        </w:tc>
        <w:tc>
          <w:tcPr>
            <w:tcW w:type="dxa" w:w="94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NORMA TÉCNICA PARA DISEÑO POR SISMO (NTDS), EL SALVADOR, 1994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4.</w:t>
            </w:r>
          </w:p>
        </w:tc>
        <w:tc>
          <w:tcPr>
            <w:tcW w:type="dxa" w:w="94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NORMA TÉCNICA PARA DISEÑO POR VIENTO (NTV), EL SALVADOR, 1997</w:t>
            </w:r>
          </w:p>
        </w:tc>
      </w:tr>
    </w:tbl>
    <w:p>
      <w:pPr>
        <w:spacing w:after="70" w:before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III.   PARÁMETROS DE DISEÑO</w:t>
      </w:r>
    </w:p>
    <w:p>
      <w:pPr>
        <w:spacing w:after="80" w:before="16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1.  CARGA MUERTA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100"/>
        <w:gridCol w:w="2100"/>
      </w:tblGrid>
      <w:tr>
        <w:trPr>
          <w:tblHeader/>
        </w:trPr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3864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Concepto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3864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TECHO kg/m²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3864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MUROS kg/m²</w:t>
            </w:r>
          </w:p>
        </w:tc>
      </w:tr>
      <w:tr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Panel de cubierta (Glamet)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9.32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Instalaciones generales (iluminación, datos, etc.)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10.00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Lámina en muros (KR-18 cal. 24)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5.85</w:t>
            </w:r>
          </w:p>
        </w:tc>
      </w:tr>
      <w:tr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Carga Muerta Total =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19.32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5.85</w:t>
            </w:r>
          </w:p>
        </w:tc>
      </w:tr>
    </w:tbl>
    <w:p>
      <w:pPr>
        <w:spacing w:after="60" w:before="12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7"/>
          <w:szCs w:val="17"/>
        </w:rPr>
        <w:t xml:space="preserve">Se considera el peso de la cortina metálica plegable del vano del nose dock (5.10 × 6.33 m): 12 kg/m² = 387.5 kg sobre el dintel (ficha técnica de referencia; confirmar con el proveedor). Entra como carga muerta y en la masa sísmica.</w:t>
      </w:r>
    </w:p>
    <w:p>
      <w:pPr>
        <w:spacing w:after="60" w:before="12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7"/>
          <w:szCs w:val="17"/>
        </w:rPr>
        <w:t>Aplicación de las cargas en el modelo: la carga muerta y la carga viva de la cubierta se aplican como cargas puntuales en los 8 nodos de cabeza de columna, por área tributaria (mitad del claro en X por mitad de la separación entre marcos en Z); la carga muerta de los muros se aplica en los largueros como carga lineal de su franja tributaria. En los vanos no hay lámina: la cortina carga su peso al dintel y su viento a las jambas, y el viento de la puerta de servicio va a sus postes. Los largueros de muro y de techo se modelan articulados en sus apoyos (conexión con clip atornillado).</w:t>
      </w:r>
    </w:p>
    <w:p>
      <w:pPr>
        <w:spacing w:after="80" w:before="160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2.  CARGA VIVA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000"/>
        <w:gridCol w:w="2000"/>
        <w:gridCol w:w="2000"/>
      </w:tblGrid>
      <w:tr>
        <w:trPr>
          <w:tblHeader/>
        </w:trPr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3864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Concepto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3864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Máxima w_m kg/m²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3864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Instantánea w_i kg/m²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3864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Media w kg/m²</w:t>
            </w:r>
          </w:p>
        </w:tc>
      </w:tr>
      <w:tr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Cubierta con pendiente mayor de 5% (RESESCO, tabla de cargas vivas, inciso i)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</w:tr>
    </w:tbl>
    <w:p>
      <w:r>
        <w:br w:type="page"/>
      </w:r>
    </w:p>
    <w:p>
      <w:pPr>
        <w:spacing w:after="70" w:before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  PARÁMETROS PARA DISEÑO POR SISMO (NTDS-1994)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460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a.  Zona sísmica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Zona 1 (A = 0.40)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b.  Tipo de suelo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S3 (Co = 3.0, To = 0.6 s)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c.  Categoría de ocupación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II (I = 1.2)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d.  Sistema estructural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— marcos de acero con detallado ordinario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e.  Factor de modificación de respuesta R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f.  Factor de amplificación de desplazamientos Cd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g.  Ordenada espectral máxima de diseño A·I·Co/R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0.206 g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h.  Método de análisis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Modal espectral CQC, 90 modos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i.  Periodo aproximado Ta = Ct·hn^¾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0.50 s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j.  Periodo fundamental del modelo (X / Z)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0.49 s / 0.58 s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k.  Peso sísmico W (CM + w_i)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14.37 t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l.  Factor del espectro por cortante mínimo (X / Z)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1.553 / 1.149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m.  Deriva máxima (X / Z) vs admisible 0.020 hsx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0.017 / 0.014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n.  Coeficiente de estabilidad θ máx. (≤ 0.10)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0.015</w:t>
            </w:r>
          </w:p>
        </w:tc>
      </w:tr>
    </w:tbl>
    <w:p>
      <w:pPr>
        <w:spacing w:after="70" w:before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   PARÁMETROS PARA DISEÑO POR VIENTO (NTV-1997)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0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a.  Presión básica de diseño Po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30 kg/m² (80 km/h a 10 m)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b.  Zona de exposición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C, terreno abierto (K = 1.6, a = 7.0)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c.  Clasificación de la estructura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Tipo 1 (esbeltez 1.05, T &lt; 2 s)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d.  Presión de diseño q = Cz·K·Po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48.0 kg/m² (z ≤ 10 m); 48.8 kg/m² en z = 10.62 m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e.  Factores de presión exteriores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Barlovento +0.8, sotavento −0.5, laterales −0.7, techo −0.7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f.  Presión interior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Cpi con el frente abierto del eje 4: −0.5, −0.6 o +0.75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g.  Aplicación en el modelo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Muros con ONEWAY LOAD; techo con UNI en largueros</w:t>
            </w:r>
          </w:p>
        </w:tc>
      </w:tr>
    </w:tbl>
    <w:p>
      <w:pPr>
        <w:spacing w:after="70" w:before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5.   CARGA DE GRANIZO/NIEVE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0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aplica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70" w:before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IV.   ESPECTRO SÍSMICO</w:t>
      </w:r>
    </w:p>
    <w:p>
      <w:pPr>
        <w:spacing w:after="0" w:before="0"/>
        <w:jc w:val="center"/>
      </w:pPr>
      <w:r>
        <w:drawing>
          <wp:inline distT="0" distB="0" distL="0" distR="0">
            <wp:extent cx="447675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DENSIDAD ESTRUCTURAL HANGAR NOSE DOCK H5-H6</w:t>
      </w:r>
    </w:p>
    <w:p>
      <w:pPr>
        <w:spacing w:after="0" w:before="0"/>
        <w:jc w:val="center"/>
      </w:pPr>
      <w:r>
        <w:drawing>
          <wp:inline distT="0" distB="0" distL="0" distR="0">
            <wp:extent cx="409575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Área en planta = 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161.28 m²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NAVE — COLUMNAS Y JAMBAS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700"/>
        <w:gridCol w:w="1900"/>
        <w:gridCol w:w="1400"/>
      </w:tblGrid>
      <w:tr>
        <w:trPr>
          <w:tblHeader/>
        </w:trPr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3864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Elemento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3864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Material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3864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Peso (kg)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3864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Porcentaje</w:t>
            </w:r>
          </w:p>
        </w:tc>
      </w:tr>
      <w:tr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HSS 16x8x5/16 (columnas, 74 tramos)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A500 Gr. C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5,394.5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91.0%</w:t>
            </w:r>
          </w:p>
        </w:tc>
      </w:tr>
      <w:tr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HSS 5x5x1/4 (jambas del vano)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A500 Gr. C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275.6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4.6%</w:t>
            </w:r>
          </w:p>
        </w:tc>
      </w:tr>
      <w:tr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HSS 3x3x1/8 (puerta de servicio)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A500 Gr. C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31.7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0.5%</w:t>
            </w:r>
          </w:p>
        </w:tc>
      </w:tr>
      <w:tr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Placa en conexiones (4 % estimado)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A36 (espesor variable)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228.1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3.8%</w:t>
            </w:r>
          </w:p>
        </w:tc>
      </w:tr>
      <w:tr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Peso total de columnas =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5,930.0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100.0%</w:t>
            </w:r>
          </w:p>
        </w:tc>
      </w:tr>
      <w:tr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Densidad de columnas =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36.77 kg/m²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VIGAS, LARGUEROS EN TECHO Y MURO, CONTRAFLAMBEOS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700"/>
        <w:gridCol w:w="1900"/>
        <w:gridCol w:w="1400"/>
      </w:tblGrid>
      <w:tr>
        <w:trPr>
          <w:tblHeader/>
        </w:trPr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3864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Elemento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3864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Material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3864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Peso (kg)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3864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Porcentaje</w:t>
            </w:r>
          </w:p>
        </w:tc>
      </w:tr>
      <w:tr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MCE12-12 (vigas de marco y de alero)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A653 SS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1,463.0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47.1%</w:t>
            </w:r>
          </w:p>
        </w:tc>
      </w:tr>
      <w:tr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MCE6-12 (dintel del vano)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A653 SS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118.5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3.8%</w:t>
            </w:r>
          </w:p>
        </w:tc>
      </w:tr>
      <w:tr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MC4-14 (largueros de techo y muro)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A653 SS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1,237.0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39.8%</w:t>
            </w:r>
          </w:p>
        </w:tc>
      </w:tr>
      <w:tr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Tubo 3/4" XS (contraflambeos)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A53 Gr. B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140.2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4.5%</w:t>
            </w:r>
          </w:p>
        </w:tc>
      </w:tr>
      <w:tr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Placa en conexiones (5 % estimado)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A36 (espesor variable)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147.9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4.8%</w:t>
            </w:r>
          </w:p>
        </w:tc>
      </w:tr>
      <w:tr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Peso total de vigas y largueros =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3,106.6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100.0%</w:t>
            </w:r>
          </w:p>
        </w:tc>
      </w:tr>
      <w:tr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Densidad de vigas y largueros =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19.26 kg/m²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>PESO TOTAL DE ESTRUCTURA =   9,036.6 kg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</w:r>
    </w:p>
    <w:p>
      <w:pPr>
        <w:spacing w:after="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>DENSIDAD TOTAL =   56.03 kg/m²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</w:r>
    </w:p>
    <w:p>
      <w:pPr>
        <w:spacing w:after="0" w:before="1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5"/>
          <w:szCs w:val="15"/>
        </w:rPr>
        <w:t>Pesos con las longitudes y secciones del modelo 001_NOSE_DOCK_H5_H6_R1.5.STD y densidad del acero 7,833 kg/m³. Placas en conexiones estimadas con el mismo criterio del EDE de la Tienda 320 m² Walmart (≈ 4 % en columnas y ≈ 5 % en vigas y largueros). No incluye la cortina ni la lámina.</w:t>
      </w:r>
    </w:p>
    <w:sectPr>
      <w:headerReference w:type="default" r:id="rId7"/>
      <w:footerReference w:type="default" r:id="rId8"/>
      <w:pgSz w:w="12240" w:h="15840" w:orient="portrait"/>
      <w:pgMar w:top="2700" w:right="720" w:bottom="1100" w:left="720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600"/>
      <w:gridCol w:w="4200"/>
    </w:tblGrid>
    <w:tr>
      <w:trPr>
        <w:trHeight w:val="520" w:hRule="atLeast"/>
      </w:trPr>
      <w:tc>
        <w:tcPr>
          <w:tcW w:type="dxa" w:w="6600"/>
          <w:tcBorders>
            <w:top w:val="single" w:color="000000" w:sz="6"/>
            <w:left w:val="single" w:color="000000" w:sz="6"/>
            <w:bottom w:val="single" w:color="000000" w:sz="6"/>
            <w:right w:val="single" w:color="000000" w:sz="6"/>
          </w:tcBorders>
          <w:tcMar>
            <w:top w:type="dxa" w:w="25"/>
            <w:left w:type="dxa" w:w="80"/>
            <w:bottom w:type="dxa" w:w="25"/>
            <w:right w:type="dxa" w:w="80"/>
          </w:tcMar>
          <w:vAlign w:val="center"/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000000"/>
              <w:sz w:val="16"/>
              <w:szCs w:val="16"/>
            </w:rPr>
            <w:t xml:space="preserve">Elaborado por: Ing. Diego Espinosa Ramos</w:t>
          </w:r>
        </w:p>
      </w:tc>
      <w:tc>
        <w:tcPr>
          <w:tcW w:type="dxa" w:w="4200"/>
          <w:tcBorders>
            <w:top w:val="single" w:color="000000" w:sz="6"/>
            <w:left w:val="single" w:color="000000" w:sz="6"/>
            <w:bottom w:val="single" w:color="000000" w:sz="6"/>
            <w:right w:val="single" w:color="000000" w:sz="6"/>
          </w:tcBorders>
          <w:tcMar>
            <w:top w:type="dxa" w:w="25"/>
            <w:left w:type="dxa" w:w="80"/>
            <w:bottom w:type="dxa" w:w="25"/>
            <w:right w:type="dxa" w:w="80"/>
          </w:tcMar>
          <w:vAlign w:val="top"/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000000"/>
              <w:sz w:val="16"/>
              <w:szCs w:val="16"/>
            </w:rPr>
            <w:t xml:space="preserve">Cédula profesional: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900"/>
      <w:gridCol w:w="4700"/>
      <w:gridCol w:w="2100"/>
      <w:gridCol w:w="2100"/>
    </w:tblGrid>
    <w:tr>
      <w:trPr>
        <w:trHeight w:val="900" w:hRule="atLeast"/>
      </w:trPr>
      <w:tc>
        <w:tcPr>
          <w:tcW w:type="dxa" w:w="1900"/>
          <w:tcBorders>
            <w:top w:val="single" w:color="000000" w:sz="6"/>
            <w:left w:val="single" w:color="000000" w:sz="6"/>
            <w:bottom w:val="single" w:color="000000" w:sz="6"/>
            <w:right w:val="single" w:color="000000" w:sz="6"/>
          </w:tcBorders>
          <w:tcMar>
            <w:top w:type="dxa" w:w="25"/>
            <w:left w:type="dxa" w:w="80"/>
            <w:bottom w:type="dxa" w:w="25"/>
            <w:right w:type="dxa" w:w="80"/>
          </w:tcMar>
          <w:vAlign w:val="center"/>
        </w:tcPr>
        <w:p>
          <w:pPr>
            <w:spacing w:after="0" w:before="0"/>
            <w:jc w:val="center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22"/>
              <w:szCs w:val="22"/>
            </w:rPr>
            <w:t xml:space="preserve">FPRIN01-4</w:t>
          </w:r>
        </w:p>
        <w:p>
          <w:pPr>
            <w:spacing w:after="0" w:before="0"/>
            <w:jc w:val="center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22"/>
              <w:szCs w:val="22"/>
            </w:rPr>
            <w:t xml:space="preserve">Rev. 0</w:t>
          </w:r>
        </w:p>
      </w:tc>
      <w:tc>
        <w:tcPr>
          <w:tcW w:type="dxa" w:w="4700"/>
          <w:tcBorders>
            <w:top w:val="single" w:color="000000" w:sz="6"/>
            <w:left w:val="single" w:color="000000" w:sz="6"/>
            <w:bottom w:val="single" w:color="000000" w:sz="6"/>
            <w:right w:val="single" w:color="000000" w:sz="6"/>
          </w:tcBorders>
          <w:shd w:fill="1F3864" w:color="auto" w:val="clear"/>
          <w:tcMar>
            <w:top w:type="dxa" w:w="25"/>
            <w:left w:type="dxa" w:w="80"/>
            <w:bottom w:type="dxa" w:w="25"/>
            <w:right w:type="dxa" w:w="80"/>
          </w:tcMar>
          <w:vAlign w:val="center"/>
        </w:tcPr>
        <w:p>
          <w:pPr>
            <w:spacing w:after="0" w:before="0"/>
            <w:jc w:val="center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FFFFFF"/>
              <w:sz w:val="24"/>
              <w:szCs w:val="24"/>
            </w:rPr>
            <w:t xml:space="preserve">HANGAR NOSE DOCK H5-H6</w:t>
          </w:r>
        </w:p>
      </w:tc>
      <w:tc>
        <w:tcPr>
          <w:tcW w:type="dxa" w:w="4200"/>
          <w:gridSpan w:val="2"/>
          <w:tcBorders>
            <w:top w:val="single" w:color="000000" w:sz="6"/>
            <w:left w:val="single" w:color="000000" w:sz="6"/>
            <w:bottom w:val="single" w:color="000000" w:sz="6"/>
            <w:right w:val="single" w:color="000000" w:sz="6"/>
          </w:tcBorders>
          <w:tcMar>
            <w:top w:type="dxa" w:w="25"/>
            <w:left w:type="dxa" w:w="80"/>
            <w:bottom w:type="dxa" w:w="25"/>
            <w:right w:type="dxa" w:w="80"/>
          </w:tcMar>
          <w:vAlign w:val="center"/>
        </w:tcPr>
        <w:p>
          <w:pPr>
            <w:spacing w:after="0" w:before="0"/>
            <w:jc w:val="center"/>
          </w:pPr>
          <w:r>
            <w:drawing>
              <wp:inline distT="0" distB="0" distL="0" distR="0">
                <wp:extent cx="1143000" cy="7905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790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>
      <w:tc>
        <w:tcPr>
          <w:tcW w:type="dxa" w:w="1900"/>
          <w:vMerge w:val="restart"/>
          <w:tcBorders>
            <w:top w:val="single" w:color="000000" w:sz="6"/>
            <w:left w:val="single" w:color="000000" w:sz="6"/>
            <w:bottom w:val="single" w:color="000000" w:sz="6"/>
            <w:right w:val="single" w:color="000000" w:sz="6"/>
          </w:tcBorders>
          <w:tcMar>
            <w:top w:type="dxa" w:w="25"/>
            <w:left w:type="dxa" w:w="80"/>
            <w:bottom w:type="dxa" w:w="25"/>
            <w:right w:type="dxa" w:w="80"/>
          </w:tcMar>
          <w:vAlign w:val="center"/>
        </w:tcPr>
        <w:p>
          <w:pPr>
            <w:spacing w:after="0" w:before="0"/>
            <w:jc w:val="center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18"/>
              <w:szCs w:val="18"/>
            </w:rPr>
            <w:t xml:space="preserve">DESARROLLO</w:t>
          </w:r>
        </w:p>
        <w:p>
          <w:pPr>
            <w:spacing w:after="0" w:before="0"/>
            <w:jc w:val="center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18"/>
              <w:szCs w:val="18"/>
            </w:rPr>
            <w:t xml:space="preserve">DE INGENIERÍA</w:t>
          </w:r>
        </w:p>
      </w:tc>
      <w:tc>
        <w:tcPr>
          <w:tcW w:type="dxa" w:w="4700"/>
          <w:vMerge w:val="restart"/>
          <w:tcBorders>
            <w:top w:val="single" w:color="000000" w:sz="6"/>
            <w:left w:val="single" w:color="000000" w:sz="6"/>
            <w:bottom w:val="single" w:color="000000" w:sz="6"/>
            <w:right w:val="single" w:color="000000" w:sz="6"/>
          </w:tcBorders>
          <w:tcMar>
            <w:top w:type="dxa" w:w="25"/>
            <w:left w:type="dxa" w:w="80"/>
            <w:bottom w:type="dxa" w:w="25"/>
            <w:right w:type="dxa" w:w="80"/>
          </w:tcMar>
          <w:vAlign w:val="center"/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18"/>
              <w:szCs w:val="18"/>
            </w:rPr>
            <w:t xml:space="preserve">PARÁMETROS PRELIMINARES PARA DISEÑO ESTRUCTURAL</w:t>
          </w:r>
        </w:p>
      </w:tc>
      <w:tc>
        <w:tcPr>
          <w:tcW w:type="dxa" w:w="2100"/>
          <w:tcBorders>
            <w:top w:val="single" w:color="000000" w:sz="6"/>
            <w:left w:val="single" w:color="000000" w:sz="6"/>
            <w:bottom w:val="single" w:color="000000" w:sz="6"/>
            <w:right w:val="single" w:color="000000" w:sz="6"/>
          </w:tcBorders>
          <w:tcMar>
            <w:top w:type="dxa" w:w="25"/>
            <w:left w:type="dxa" w:w="80"/>
            <w:bottom w:type="dxa" w:w="25"/>
            <w:right w:type="dxa" w:w="80"/>
          </w:tcMar>
          <w:vAlign w:val="center"/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16"/>
              <w:szCs w:val="16"/>
            </w:rPr>
            <w:t xml:space="preserve">CÓDIGO</w:t>
          </w:r>
        </w:p>
      </w:tc>
      <w:tc>
        <w:tcPr>
          <w:tcW w:type="dxa" w:w="2100"/>
          <w:tcBorders>
            <w:top w:val="single" w:color="000000" w:sz="6"/>
            <w:left w:val="single" w:color="000000" w:sz="6"/>
            <w:bottom w:val="single" w:color="000000" w:sz="6"/>
            <w:right w:val="single" w:color="000000" w:sz="6"/>
          </w:tcBorders>
          <w:tcMar>
            <w:top w:type="dxa" w:w="25"/>
            <w:left w:type="dxa" w:w="80"/>
            <w:bottom w:type="dxa" w:w="25"/>
            <w:right w:type="dxa" w:w="80"/>
          </w:tcMar>
          <w:vAlign w:val="center"/>
        </w:tcPr>
        <w:p>
          <w:pPr>
            <w:spacing w:after="0" w:before="0"/>
            <w:jc w:val="center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16"/>
              <w:szCs w:val="16"/>
            </w:rPr>
            <w:t xml:space="preserve">PR-2026-___</w:t>
          </w:r>
        </w:p>
      </w:tc>
    </w:tr>
    <w:tr>
      <w:tc>
        <w:tcPr>
          <w:vMerge w:val="continue"/>
          <w:tcBorders>
            <w:top w:val="single" w:color="000000" w:sz="6"/>
            <w:left w:val="single" w:color="000000" w:sz="6"/>
            <w:bottom w:val="single" w:color="000000" w:sz="6"/>
            <w:right w:val="single" w:color="000000" w:sz="6"/>
          </w:tcBorders>
        </w:tcPr>
        <w:p/>
      </w:tc>
      <w:tc>
        <w:tcPr>
          <w:vMerge w:val="continue"/>
          <w:tcBorders>
            <w:top w:val="single" w:color="000000" w:sz="6"/>
            <w:left w:val="single" w:color="000000" w:sz="6"/>
            <w:bottom w:val="single" w:color="000000" w:sz="6"/>
            <w:right w:val="single" w:color="000000" w:sz="6"/>
          </w:tcBorders>
        </w:tcPr>
        <w:p/>
      </w:tc>
      <w:tc>
        <w:tcPr>
          <w:tcW w:type="dxa" w:w="2100"/>
          <w:tcBorders>
            <w:top w:val="single" w:color="000000" w:sz="6"/>
            <w:left w:val="single" w:color="000000" w:sz="6"/>
            <w:bottom w:val="single" w:color="000000" w:sz="6"/>
            <w:right w:val="single" w:color="000000" w:sz="6"/>
          </w:tcBorders>
          <w:tcMar>
            <w:top w:type="dxa" w:w="25"/>
            <w:left w:type="dxa" w:w="80"/>
            <w:bottom w:type="dxa" w:w="25"/>
            <w:right w:type="dxa" w:w="80"/>
          </w:tcMar>
          <w:vAlign w:val="center"/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16"/>
              <w:szCs w:val="16"/>
            </w:rPr>
            <w:t xml:space="preserve">REVISIÓN</w:t>
          </w:r>
        </w:p>
      </w:tc>
      <w:tc>
        <w:tcPr>
          <w:tcW w:type="dxa" w:w="2100"/>
          <w:tcBorders>
            <w:top w:val="single" w:color="000000" w:sz="6"/>
            <w:left w:val="single" w:color="000000" w:sz="6"/>
            <w:bottom w:val="single" w:color="000000" w:sz="6"/>
            <w:right w:val="single" w:color="000000" w:sz="6"/>
          </w:tcBorders>
          <w:tcMar>
            <w:top w:type="dxa" w:w="25"/>
            <w:left w:type="dxa" w:w="80"/>
            <w:bottom w:type="dxa" w:w="25"/>
            <w:right w:type="dxa" w:w="80"/>
          </w:tcMar>
          <w:vAlign w:val="center"/>
        </w:tcPr>
        <w:p>
          <w:pPr>
            <w:spacing w:after="0" w:before="0"/>
            <w:jc w:val="center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16"/>
              <w:szCs w:val="16"/>
            </w:rPr>
            <w:t xml:space="preserve">0</w:t>
          </w:r>
        </w:p>
      </w:tc>
    </w:tr>
    <w:tr>
      <w:tc>
        <w:tcPr>
          <w:vMerge w:val="continue"/>
          <w:tcBorders>
            <w:top w:val="single" w:color="000000" w:sz="6"/>
            <w:left w:val="single" w:color="000000" w:sz="6"/>
            <w:bottom w:val="single" w:color="000000" w:sz="6"/>
            <w:right w:val="single" w:color="000000" w:sz="6"/>
          </w:tcBorders>
        </w:tcPr>
        <w:p/>
      </w:tc>
      <w:tc>
        <w:tcPr>
          <w:vMerge w:val="continue"/>
          <w:tcBorders>
            <w:top w:val="single" w:color="000000" w:sz="6"/>
            <w:left w:val="single" w:color="000000" w:sz="6"/>
            <w:bottom w:val="single" w:color="000000" w:sz="6"/>
            <w:right w:val="single" w:color="000000" w:sz="6"/>
          </w:tcBorders>
        </w:tcPr>
        <w:p/>
      </w:tc>
      <w:tc>
        <w:tcPr>
          <w:tcW w:type="dxa" w:w="2100"/>
          <w:tcBorders>
            <w:top w:val="single" w:color="000000" w:sz="6"/>
            <w:left w:val="single" w:color="000000" w:sz="6"/>
            <w:bottom w:val="single" w:color="000000" w:sz="6"/>
            <w:right w:val="single" w:color="000000" w:sz="6"/>
          </w:tcBorders>
          <w:tcMar>
            <w:top w:type="dxa" w:w="25"/>
            <w:left w:type="dxa" w:w="80"/>
            <w:bottom w:type="dxa" w:w="25"/>
            <w:right w:type="dxa" w:w="80"/>
          </w:tcMar>
          <w:vAlign w:val="center"/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16"/>
              <w:szCs w:val="16"/>
            </w:rPr>
            <w:t xml:space="preserve">FECHA</w:t>
          </w:r>
        </w:p>
      </w:tc>
      <w:tc>
        <w:tcPr>
          <w:tcW w:type="dxa" w:w="2100"/>
          <w:tcBorders>
            <w:top w:val="single" w:color="000000" w:sz="6"/>
            <w:left w:val="single" w:color="000000" w:sz="6"/>
            <w:bottom w:val="single" w:color="000000" w:sz="6"/>
            <w:right w:val="single" w:color="000000" w:sz="6"/>
          </w:tcBorders>
          <w:tcMar>
            <w:top w:type="dxa" w:w="25"/>
            <w:left w:type="dxa" w:w="80"/>
            <w:bottom w:type="dxa" w:w="25"/>
            <w:right w:type="dxa" w:w="80"/>
          </w:tcMar>
          <w:vAlign w:val="center"/>
        </w:tcPr>
        <w:p>
          <w:pPr>
            <w:spacing w:after="0" w:before="0"/>
            <w:jc w:val="center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16"/>
              <w:szCs w:val="16"/>
            </w:rPr>
            <w:t xml:space="preserve">24-09-2026</w:t>
          </w:r>
        </w:p>
      </w:tc>
    </w:tr>
    <w:tr>
      <w:tc>
        <w:tcPr>
          <w:vMerge w:val="continue"/>
          <w:tcBorders>
            <w:top w:val="single" w:color="000000" w:sz="6"/>
            <w:left w:val="single" w:color="000000" w:sz="6"/>
            <w:bottom w:val="single" w:color="000000" w:sz="6"/>
            <w:right w:val="single" w:color="000000" w:sz="6"/>
          </w:tcBorders>
        </w:tcPr>
        <w:p/>
      </w:tc>
      <w:tc>
        <w:tcPr>
          <w:vMerge w:val="continue"/>
          <w:tcBorders>
            <w:top w:val="single" w:color="000000" w:sz="6"/>
            <w:left w:val="single" w:color="000000" w:sz="6"/>
            <w:bottom w:val="single" w:color="000000" w:sz="6"/>
            <w:right w:val="single" w:color="000000" w:sz="6"/>
          </w:tcBorders>
        </w:tcPr>
        <w:p/>
      </w:tc>
      <w:tc>
        <w:tcPr>
          <w:tcW w:type="dxa" w:w="2100"/>
          <w:tcBorders>
            <w:top w:val="single" w:color="000000" w:sz="6"/>
            <w:left w:val="single" w:color="000000" w:sz="6"/>
            <w:bottom w:val="single" w:color="000000" w:sz="6"/>
            <w:right w:val="single" w:color="000000" w:sz="6"/>
          </w:tcBorders>
          <w:tcMar>
            <w:top w:type="dxa" w:w="25"/>
            <w:left w:type="dxa" w:w="80"/>
            <w:bottom w:type="dxa" w:w="25"/>
            <w:right w:type="dxa" w:w="80"/>
          </w:tcMar>
          <w:vAlign w:val="center"/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0000"/>
              <w:sz w:val="16"/>
              <w:szCs w:val="16"/>
            </w:rPr>
            <w:t xml:space="preserve">PÁGINA</w:t>
          </w:r>
        </w:p>
      </w:tc>
      <w:tc>
        <w:tcPr>
          <w:tcW w:type="dxa" w:w="2100"/>
          <w:tcBorders>
            <w:top w:val="single" w:color="000000" w:sz="6"/>
            <w:left w:val="single" w:color="000000" w:sz="6"/>
            <w:bottom w:val="single" w:color="000000" w:sz="6"/>
            <w:right w:val="single" w:color="000000" w:sz="6"/>
          </w:tcBorders>
          <w:tcMar>
            <w:top w:type="dxa" w:w="25"/>
            <w:left w:type="dxa" w:w="80"/>
            <w:bottom w:type="dxa" w:w="25"/>
            <w:right w:type="dxa" w:w="80"/>
          </w:tcMar>
          <w:vAlign w:val="center"/>
        </w:tcPr>
        <w:p>
          <w:pPr>
            <w:spacing w:after="0" w:before="0"/>
            <w:jc w:val="center"/>
          </w:pPr>
          <w:r>
            <w:rPr>
              <w:rFonts w:ascii="Arial" w:cs="Arial" w:eastAsia="Arial" w:hAnsi="Arial"/>
              <w:sz w:val="16"/>
              <w:szCs w:val="16"/>
            </w:rPr>
            <w:t xml:space="preserve">Página </w:t>
            <w:fldChar w:fldCharType="begin"/>
            <w:instrText xml:space="preserve">PAGE</w:instrText>
            <w:fldChar w:fldCharType="separate"/>
            <w:fldChar w:fldCharType="end"/>
            <w:t xml:space="preserve"> de </w:t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spacing w:after="0" w:before="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8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64110d423ece918321711717e534c06fe1ce371.png"/><Relationship Id="rId10" Type="http://schemas.openxmlformats.org/officeDocument/2006/relationships/image" Target="media/062b6f584fa264353df33a57f7869214eca44910.png"/><Relationship Id="rId11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1c000ec8f961a51e24dc9bb35143fb468c0941c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2026-09-24T23:16:29.413Z</dcterms:created>
  <dcterms:modified xsi:type="dcterms:W3CDTF">2026-09-24T23:16:29.413Z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