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Subgroup analysis of crude rate ratios</w:t>
      </w:r>
    </w:p>
    <w:p>
      <w:pPr>
        <w:pStyle w:val="Normal"/>
      </w:pPr>
      <w:r>
        <w:t xml:space="preserve">Comparing screened with non-screened groups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34"/>
        <w:gridCol w:w="2201"/>
        <w:gridCol w:w="2341"/>
        <w:gridCol w:w="2477"/>
        <w:gridCol w:w="1214"/>
      </w:tblGrid>
      <w:tr>
        <w:trPr>
          <w:trHeight w:val="8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LC incidence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LC mortality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All-cause mortality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(0.93-1.47)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(0.58-1.73)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(0.72-1.38)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0.1911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(0.10-3.54)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(0.10-3.54)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0.5650</w:t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(0.94-1.49)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(0.58-1.74)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(0.73-1.41)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 (years)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40-49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 (0.83-3.37)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(0.07-17.40)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(0.27-4.35)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0.1469</w:t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50-54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(0.59-1.72)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(0.11-1.67)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(0.36-1.75)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0.9692</w:t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55-74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(0.89-1.54)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(0.67-2.35)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(0.74-1.55)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0.2596</w:t>
            </w:r>
          </w:p>
        </w:tc>
      </w:tr>
      <w:tr>
        <w:trPr>
          <w:trHeight w:val="62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history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(0.84-1.45)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(0.74-2.70)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(0.77-1.66)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0.4762</w:t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(0.82-1.98)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 (0.11-1.15)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(0.37-1.25)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0.2789</w:t>
            </w:r>
          </w:p>
        </w:tc>
      </w:tr>
      <w:tr>
        <w:trPr>
          <w:trHeight w:val="62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Occupational hazard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(0.72-1.28)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(0.41-1.57)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(0.61-1.36)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0.7708</w:t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(1.13-2.54)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 (0.62-5.32)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(0.69-2.13)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</w:tr>
      <w:tr>
        <w:trPr>
          <w:trHeight w:val="62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respiratory disease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(0.80-2.00)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(0.07-1.49)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(0.28-1.28)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0.3046</w:t>
            </w:r>
          </w:p>
        </w:tc>
      </w:tr>
      <w:tr>
        <w:trPr>
          <w:trHeight w:val="60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(0.85-1.45)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(0.66-2.26)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(0.76-1.58)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LC: lung cancer; RR: rate ratio; CI: confidence interval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2026-05-13T12:05:13Z</dcterms:modified>
  <cp:category/>
</cp:coreProperties>
</file>