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139 Guandu 2nd Road, Maoming 525000,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[To be finalized before submission]</w:t>
      </w:r>
    </w:p>
    <w:p>
      <w:pPr>
        <w:pStyle w:val="BodyText"/>
        <w:spacing w:line="480" w:lineRule="auto" w:after="120"/>
      </w:pPr>
      <w:r>
        <w:t xml:space="preserve">Email: [to be finalized before submission]</w:t>
      </w:r>
    </w:p>
    <w:p>
      <w:pPr>
        <w:pStyle w:val="BodyText"/>
        <w:spacing w:line="480" w:lineRule="auto" w:after="120"/>
      </w:pPr>
      <w:r>
        <w:t xml:space="preserve">Address: [to be finalized before submission]</w:t>
      </w:r>
    </w:p>
    <w:bookmarkEnd w:id="13"/>
    <w:bookmarkStart w:id="14" w:name="orcid"/>
    <w:p>
      <w:pPr>
        <w:pStyle w:val="Heading2"/>
        <w:spacing w:line="480" w:lineRule="auto" w:after="120"/>
      </w:pPr>
      <w:r>
        <w:t xml:space="preserve">ORCID</w:t>
      </w:r>
    </w:p>
    <w:p>
      <w:pPr>
        <w:pStyle w:val="FirstParagraph"/>
        <w:spacing w:line="480" w:lineRule="auto" w:after="120"/>
      </w:pPr>
      <w:r>
        <w:t xml:space="preserve">Zhuang Jiang: https://orcid.org/0009-0007-4388-5901</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Approximate manuscript word count excluding references: 3,033.</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Main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4"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w:t>
      </w:r>
    </w:p>
    <w:p>
      <w:pPr>
        <w:pStyle w:val="BodyText"/>
        <w:spacing w:line="480" w:lineRule="auto" w:after="120"/>
      </w:pPr>
      <w:r>
        <w:t xml:space="preserve">The layers were spatial discovery, second spatial validation, single-cell localization, external bulk validation, CoMMpass/GDC validation, and NG2024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6"/>
    <w:bookmarkStart w:id="27"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7"/>
    <w:bookmarkStart w:id="28"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8"/>
    <w:bookmarkStart w:id="29"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29"/>
    <w:bookmarkStart w:id="30"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0"/>
    <w:bookmarkStart w:id="31"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1"/>
    <w:bookmarkStart w:id="32"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Complete-case analysis was used for models requiring covariates.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2"/>
    <w:bookmarkStart w:id="33"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bookmarkEnd w:id="33"/>
    <w:bookmarkEnd w:id="34"/>
    <w:bookmarkStart w:id="42" w:name="results-1"/>
    <w:p>
      <w:pPr>
        <w:pStyle w:val="Heading2"/>
        <w:spacing w:line="480" w:lineRule="auto" w:after="120"/>
      </w:pPr>
      <w:r>
        <w:t xml:space="preserve">Results</w:t>
      </w:r>
    </w:p>
    <w:bookmarkStart w:id="35" w:name="Xd2a413da0f7b1bcc8e3c38c7019959a6f217f22"/>
    <w:p>
      <w:pPr>
        <w:pStyle w:val="Heading3"/>
        <w:spacing w:line="480" w:lineRule="auto" w:after="120"/>
      </w:pPr>
      <w:r>
        <w:t xml:space="preserve">Cross-cohort design defined a bounded evidence chain</w:t>
      </w:r>
    </w:p>
    <w:p>
      <w:pPr>
        <w:pStyle w:val="FirstParagraph"/>
        <w:spacing w:line="480" w:lineRule="auto" w:after="120"/>
      </w:pPr>
      <w:r>
        <w:t xml:space="preserve">The study was organized as a sequential evidence chain rather than as a single-cohort biomarker screen (Fig. 1). Spatial discovery was performed in GSE269875, independent spatial reproducibility was tested in GSE299193 Xenium data, single-cell localization was assessed in GSE271107, external bulk support was evaluated in GSE24080 and GSE2658, and clinical and molecular-risk associations were tested in MMRF-COMMPASS/GDC and public NG2024 CoMMpass annotations.</w:t>
      </w:r>
    </w:p>
    <w:p>
      <w:pPr>
        <w:pStyle w:val="BodyText"/>
        <w:spacing w:line="480" w:lineRule="auto" w:after="120"/>
      </w:pPr>
      <w:r>
        <w:t xml:space="preserve">Table 1 summarizes the evidence levels and the claim boundary assigned to each dataset. The complete editable Table 1 is provided in the submission package rather than embedded in the running text to preserve manuscript readability. The analysis supports a spatially reproducible and clinically associated plasma-secretory program. It does not establish a prospective clinical classifier, a treatment-selection marker, or completed R-ISS, PFS, or treatment-response validation.</w:t>
      </w:r>
    </w:p>
    <w:bookmarkEnd w:id="35"/>
    <w:bookmarkStart w:id="36" w:name="Xc3829d18e02163d7c9a342984239bc8f467fb87"/>
    <w:p>
      <w:pPr>
        <w:pStyle w:val="Heading3"/>
        <w:spacing w:line="480" w:lineRule="auto" w:after="120"/>
      </w:pPr>
      <w:r>
        <w:t xml:space="preserve">Spatial transcriptomics identified the plasma-secretory program (Fig. 2)</w:t>
      </w:r>
    </w:p>
    <w:p>
      <w:pPr>
        <w:pStyle w:val="FirstParagraph"/>
        <w:spacing w:line="480" w:lineRule="auto" w:after="120"/>
      </w:pPr>
      <w:r>
        <w:t xml:space="preserve">In GSE269875, sample-level module scoring showed that the plasma-secretory program was the most enriched curated program in myeloma bone marrow spatial samples. Myeloma samples had higher plasma-secretory scores than control bone marrow samples, with a median difference of 0.709, Cohen’s d of 3.129, and Mann-Whitney p=0.0256 (Fig. 2A,B).</w:t>
      </w:r>
    </w:p>
    <w:p>
      <w:pPr>
        <w:pStyle w:val="BodyText"/>
        <w:spacing w:line="480" w:lineRule="auto" w:after="120"/>
      </w:pPr>
      <w:r>
        <w:t xml:space="preserve">The spatial candidate ranking also prioritized plasma-cell and secretory-pathway genes, including XBP1, TXNDC5, POU2AF1, SDC1, MZB1, and JCHAIN (Fig. 2C). This result defined the discovery axis used in later analyses. It was not interpreted as evidence that any single gene is a standalone clinical biomarker.</w:t>
      </w:r>
    </w:p>
    <w:bookmarkEnd w:id="36"/>
    <w:bookmarkStart w:id="37" w:name="X2977e9c2dbb866e40223d763c87bfee468bac6c"/>
    <w:p>
      <w:pPr>
        <w:pStyle w:val="Heading3"/>
        <w:spacing w:line="480" w:lineRule="auto" w:after="120"/>
      </w:pPr>
      <w:r>
        <w:t xml:space="preserve">Independent Xenium data reproduced the program-level spatial signal (Fig. 6)</w:t>
      </w:r>
    </w:p>
    <w:p>
      <w:pPr>
        <w:pStyle w:val="FirstParagraph"/>
        <w:spacing w:line="480" w:lineRule="auto" w:after="120"/>
      </w:pPr>
      <w:r>
        <w:t xml:space="preserve">The spatial discovery signal was then tested in GSE299193, an independent Xenium dataset containing 22 human bone marrow samples from Ctrl, MGUS, SM, MM, and relapsed MM groups. Active MM/RM samples showed higher plasma-secretory scores than Ctrl/MGUS/SM samples, with a median difference of 0.766, Mann-Whitney p=0.000182, and FDR=0.000575 (Fig. 6, left).</w:t>
      </w:r>
    </w:p>
    <w:p>
      <w:pPr>
        <w:pStyle w:val="BodyText"/>
        <w:spacing w:line="480" w:lineRule="auto" w:after="120"/>
      </w:pPr>
      <w:r>
        <w:t xml:space="preserve">A Xenium panel-covered POU2AF1/XBP1 module showed a concordant active-disease pattern, with median difference 1.068, p=0.000287, and FDR=0.000575 (Fig. 6, middle). The extracted Xenium matrices contained MZB1, TNFRSF17, SLAMF7, IRF4, PIM2, POU2AF1, and XBP1, but not TXNDC5, JCHAIN, or SDC1 (Fig. 6, right). GSE299193 therefore strengthens the spatial reproducibility claim at program level, while not directly validating the absent genes.</w:t>
      </w:r>
    </w:p>
    <w:bookmarkEnd w:id="37"/>
    <w:bookmarkStart w:id="38" w:name="X17838a3b0e09f878688a905a39cac0a9c0b8d51"/>
    <w:p>
      <w:pPr>
        <w:pStyle w:val="Heading3"/>
        <w:spacing w:line="480" w:lineRule="auto" w:after="120"/>
      </w:pPr>
      <w:r>
        <w:t xml:space="preserve">Single-cell data localized the axis to plasma-cell compartments (Fig. 3)</w:t>
      </w:r>
    </w:p>
    <w:p>
      <w:pPr>
        <w:pStyle w:val="FirstParagraph"/>
        <w:spacing w:line="480" w:lineRule="auto" w:after="120"/>
      </w:pPr>
      <w:r>
        <w:t xml:space="preserve">GSE271107 single-cell RNA-seq data were used to localize the spatial program across marker-inferred cell categories. Plasma-cell compartments showed the strongest plasma-secretory program score among broad cell groups (Fig. 3B).</w:t>
      </w:r>
    </w:p>
    <w:p>
      <w:pPr>
        <w:pStyle w:val="BodyText"/>
        <w:spacing w:line="480" w:lineRule="auto" w:after="120"/>
      </w:pPr>
      <w:r>
        <w:t xml:space="preserve">TXNDC5 was consistently expressed in marker-inferred plasma cells, with mean log-normalized expression 2.196 and detection fraction 94.86% across summarized plasma-cell observations (Fig. 3A). This supports TXNDC5 as a spatial and single-cell localization candidate within the plasma-secretory axis. It does not support presenting TXNDC5 as a standalone prognostic biomarker.</w:t>
      </w:r>
    </w:p>
    <w:bookmarkEnd w:id="38"/>
    <w:bookmarkStart w:id="39" w:name="X871dc3800bc567be1a0f3328289ce7a1571ef62"/>
    <w:p>
      <w:pPr>
        <w:pStyle w:val="Heading3"/>
        <w:spacing w:line="480" w:lineRule="auto" w:after="120"/>
      </w:pPr>
      <w:r>
        <w:t xml:space="preserve">External bulk cohorts supported a clinical subtype module (Fig. 4)</w:t>
      </w:r>
    </w:p>
    <w:p>
      <w:pPr>
        <w:pStyle w:val="FirstParagraph"/>
        <w:spacing w:line="480" w:lineRule="auto" w:after="120"/>
      </w:pPr>
      <w:r>
        <w:t xml:space="preserve">External GEO bulk cohorts were used to test whether the spatially identified axis connected to clinical or cytogenetic annotations outside the spatial datasets. In GSE2658, the POU2AF1/XBP1/JCHAIN module was associated with FISH 1q21 amplification (FDR=1.65e-05). In GSE24080, XBP1 was associated with 24-month overall survival death (FDR=0.0362; Fig. 4).</w:t>
      </w:r>
    </w:p>
    <w:p>
      <w:pPr>
        <w:pStyle w:val="BodyText"/>
        <w:spacing w:line="480" w:lineRule="auto" w:after="120"/>
      </w:pPr>
      <w:r>
        <w:t xml:space="preserve">These findings supported the use of a broader clinical subtype module rather than a TXNDC5-only interpretation. Because the GSE2658 module effect direction was not identical to the CoMMpass direction, this result is described as external association support rather than uniform directional replication across all platforms.</w:t>
      </w:r>
    </w:p>
    <w:bookmarkEnd w:id="39"/>
    <w:bookmarkStart w:id="40" w:name="X2405a1608dd5b0a2acf6273b077ef3374d588ce"/>
    <w:p>
      <w:pPr>
        <w:pStyle w:val="Heading3"/>
        <w:spacing w:line="480" w:lineRule="auto" w:after="120"/>
      </w:pPr>
      <w:r>
        <w:t xml:space="preserve">CoMMpass/GDC linked the axis to OS, ISS, and molecular risk (Fig. 5)</w:t>
      </w:r>
    </w:p>
    <w:p>
      <w:pPr>
        <w:pStyle w:val="FirstParagraph"/>
        <w:spacing w:line="480" w:lineRule="auto" w:after="120"/>
      </w:pPr>
      <w:r>
        <w:t xml:space="preserve">The axis was next evaluated in 762 baseline MMRF-COMMPASS/GDC bone marrow CD138+ RNA-seq samples. The plasma-secretory score was associated with overall survival event, with event-versus-nonevent median difference 0.346 and FDR=9.31e-06 (Fig. 5A,B). Median-split survival analysis also supported an OS association, with log-rank p=0.00668 and FDR=0.0401 (Fig. 5C).</w:t>
      </w:r>
    </w:p>
    <w:p>
      <w:pPr>
        <w:pStyle w:val="BodyText"/>
        <w:spacing w:line="480" w:lineRule="auto" w:after="120"/>
      </w:pPr>
      <w:r>
        <w:t xml:space="preserve">The same score showed an ordinal association with ISS stage (Spearman rho=0.132, p=0.000316, FDR=0.0019). These analyses link the axis to retrospective clinical risk features, but they do not test R-ISS, PFS, or treatment response.</w:t>
      </w:r>
    </w:p>
    <w:p>
      <w:pPr>
        <w:pStyle w:val="BodyText"/>
        <w:spacing w:line="480" w:lineRule="auto" w:after="120"/>
      </w:pPr>
      <w:r>
        <w:t xml:space="preserve">Public NG2024 CoMMpass molecular annotations further placed the axis in a known molecular-risk context. Local baseline CoMMpass samples matched public Supplementary Table 1 for 762 of 762 patients, and 707 complete cases were available for RNA-subtype probability analyses. The plasma-secretory score correlated with PR RNA-subtype probability (Spearman rho=0.340, FDR=5.43e-19) and was higher in samples with 1q21 gain or amplification (median difference 0.268, FDR=1.24e-05; Fig. 5E,F).</w:t>
      </w:r>
    </w:p>
    <w:p>
      <w:pPr>
        <w:pStyle w:val="BodyText"/>
        <w:spacing w:line="480" w:lineRule="auto" w:after="120"/>
      </w:pPr>
      <w:r>
        <w:t xml:space="preserve">Gene-level NG2024 analyses were consistent with the candidate framing. TXNDC5 expression was associated with 1q21 gain or amplification (median difference 0.231, FDR=0.00843), and POU2AF1 was associated with 17p13 deletion (median difference 0.337, FDR=0.00533). These observations provide molecular annotation support for the axis, not a completed clinical assay.</w:t>
      </w:r>
    </w:p>
    <w:bookmarkEnd w:id="40"/>
    <w:bookmarkStart w:id="41" w:name="X46f31a2e01a3844976df773c4d096b7e7c5a01d"/>
    <w:p>
      <w:pPr>
        <w:pStyle w:val="Heading3"/>
        <w:spacing w:line="480" w:lineRule="auto" w:after="120"/>
      </w:pPr>
      <w:r>
        <w:t xml:space="preserve">Adjusted models supported covariate-adjusted OS association (Fig. 5D)</w:t>
      </w:r>
    </w:p>
    <w:p>
      <w:pPr>
        <w:pStyle w:val="FirstParagraph"/>
        <w:spacing w:line="480" w:lineRule="auto" w:after="120"/>
      </w:pPr>
      <w:r>
        <w:t xml:space="preserve">Finally, we tested whether the CoMMpass survival association persisted after basic adjustment. The prespecified Cox model included age, sex, ISS stage, and 1q21 status. In 660 complete cases, the plasma-secretory score remained associated with overall survival, with hazard ratio 1.460 per standard deviation, 95% CI 1.069-1.993, p=0.0173, and FDR=0.0445 (Fig. 5D).</w:t>
      </w:r>
    </w:p>
    <w:p>
      <w:pPr>
        <w:pStyle w:val="BodyText"/>
        <w:spacing w:line="480" w:lineRule="auto" w:after="120"/>
      </w:pPr>
      <w:r>
        <w:t xml:space="preserve">The POU2AF1/XBP1/JCHAIN clinical module showed a similar adjusted association, with hazard ratio 1.434, 95% CI 1.090-1.886, and FDR=0.0299. A logistic model also linked the plasma-secretory score to 1q21 status after adjustment for age, sex, and ISS, with odds ratio 1.873 per standard deviation and FDR=0.000213. These models support covariate-adjusted association. They do not establish clinical utility or prospective risk-prediction performance.</w:t>
      </w:r>
    </w:p>
    <w:bookmarkEnd w:id="41"/>
    <w:bookmarkEnd w:id="42"/>
    <w:bookmarkStart w:id="43"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3"/>
    <w:bookmarkStart w:id="44"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4"/>
    <w:bookmarkStart w:id="53" w:name="declarations"/>
    <w:p>
      <w:pPr>
        <w:pStyle w:val="Heading2"/>
        <w:spacing w:line="480" w:lineRule="auto" w:after="120"/>
      </w:pPr>
      <w:r>
        <w:t xml:space="preserve">Declarations</w:t>
      </w:r>
    </w:p>
    <w:bookmarkStart w:id="45"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5"/>
    <w:bookmarkStart w:id="46"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6"/>
    <w:bookmarkStart w:id="47"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7"/>
    <w:bookmarkStart w:id="48"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organized in a local reproducibility package and will be made publicly available before formal journal upload at</w:t>
      </w:r>
      <w:r>
        <w:t xml:space="preserve"> </w:t>
      </w:r>
      <w:r>
        <w:rPr>
          <w:rStyle w:val="VerbatimChar"/>
        </w:rPr>
        <w:t xml:space="preserve">https://github.com/1627626277-cyber/secondary</w:t>
      </w:r>
      <w:r>
        <w:t xml:space="preserve">.</w:t>
      </w:r>
    </w:p>
    <w:bookmarkEnd w:id="48"/>
    <w:bookmarkStart w:id="49"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49"/>
    <w:bookmarkStart w:id="50"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0"/>
    <w:bookmarkStart w:id="51" w:name="authors-contributions"/>
    <w:p>
      <w:pPr>
        <w:pStyle w:val="Heading3"/>
        <w:spacing w:line="480" w:lineRule="auto" w:after="120"/>
      </w:pPr>
      <w:r>
        <w:t xml:space="preserve">Authors’ contributions</w:t>
      </w:r>
    </w:p>
    <w:p>
      <w:pPr>
        <w:pStyle w:val="FirstParagraph"/>
        <w:spacing w:line="480" w:lineRule="auto" w:after="120"/>
      </w:pPr>
      <w:r>
        <w:t xml:space="preserve">Z.J. conceived the study, designed the analysis strategy, curated public datasets, interpreted the results, prepared the manuscript, and approved the submitted version. This statement should be revised if additional authors are added before submission.</w:t>
      </w:r>
    </w:p>
    <w:bookmarkEnd w:id="51"/>
    <w:bookmarkStart w:id="52"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2"/>
    <w:bookmarkEnd w:id="53"/>
    <w:bookmarkStart w:id="54"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bookmarkEnd w:id="54"/>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2026-05-01T01:08:34Z</dcterms:created>
  <dcterms:modified xsi:type="dcterms:W3CDTF">2026-05-01T01:08:34Z</dcterms:modified>
</cp:coreProperties>
</file>

<file path=docProps/custom.xml><?xml version="1.0" encoding="utf-8"?>
<Properties xmlns="http://schemas.openxmlformats.org/officeDocument/2006/custom-properties" xmlns:vt="http://schemas.openxmlformats.org/officeDocument/2006/docPropsVTypes"/>
</file>