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76" w:lineRule="auto" w:after="160"/>
      </w:pPr>
      <w:r>
        <w:t xml:space="preserve">Dear Editor,</w:t>
      </w:r>
    </w:p>
    <w:p>
      <w:pPr>
        <w:pStyle w:val="BodyText"/>
        <w:spacing w:line="276" w:lineRule="auto" w:after="160"/>
      </w:pPr>
      <w:r>
        <w:t xml:space="preserve">We are pleased to submit our manuscript entitled</w:t>
      </w:r>
      <w:r>
        <w:t xml:space="preserve"> </w:t>
      </w:r>
      <w:r>
        <w:t xml:space="preserve">“Spatial validation and clinical association of a plasma-secretory bone marrow program in multiple myeloma”</w:t>
      </w:r>
      <w:r>
        <w:t xml:space="preserve"> </w:t>
      </w:r>
      <w:r>
        <w:t xml:space="preserve">for consideration in BMC Medical Genomics.</w:t>
      </w:r>
    </w:p>
    <w:p>
      <w:pPr>
        <w:pStyle w:val="BodyText"/>
        <w:spacing w:line="276" w:lineRule="auto" w:after="160"/>
      </w:pPr>
      <w:r>
        <w:t xml:space="preserve">This manuscript presents an integrative public-data analysis of multiple myeloma using spatial transcriptomics, Xenium spatial profiling, single-cell RNA sequencing, external bulk transcriptomic cohorts, MMRF-COMMPASS/GDC RNA-seq, and public CoMMpass molecular annotations. The study identifies a plasma-secretory bone marrow program that is enriched in myeloma spatial transcriptomics, reproduced at program level in an independent Xenium dataset, localized to plasma-cell compartments in single-cell data, and associated with overall survival, ISS stage, PR RNA-subtype probability, and 1q21 molecular-risk features in bulk datasets.</w:t>
      </w:r>
    </w:p>
    <w:p>
      <w:pPr>
        <w:pStyle w:val="BodyText"/>
        <w:spacing w:line="276" w:lineRule="auto" w:after="160"/>
      </w:pPr>
      <w:r>
        <w:t xml:space="preserve">The work is framed as a reproducible and clinically associated transcriptional program rather than as a completed clinical biomarker. The manuscript explicitly states that R-ISS, PFS, treatment-response validation, and wet-lab validation were not completed in the current public-data route. We believe this transparent scope is well aligned with the journal’s interest in genomic and transcriptomic analyses of disease biology.</w:t>
      </w:r>
    </w:p>
    <w:p>
      <w:pPr>
        <w:pStyle w:val="BodyText"/>
        <w:spacing w:line="276" w:lineRule="auto" w:after="160"/>
      </w:pPr>
      <w:r>
        <w:t xml:space="preserve">All analyzed datasets are publicly available or open-access processed resources. The analysis scripts, compact result tables, figure outputs, and validation reports are organized in a local reproducibility package and will be made publicly available before formal journal upload at https://github.com/1627626277-cyber/secondary.</w:t>
      </w:r>
    </w:p>
    <w:p>
      <w:pPr>
        <w:pStyle w:val="BodyText"/>
        <w:spacing w:line="276" w:lineRule="auto" w:after="160"/>
      </w:pPr>
      <w:r>
        <w:t xml:space="preserve">This manuscript has not been published and is not under consideration elsewhere. The author confirms responsibility for the submitted work.</w:t>
      </w:r>
    </w:p>
    <w:p>
      <w:pPr>
        <w:pStyle w:val="BodyText"/>
        <w:spacing w:line="276" w:lineRule="auto" w:after="160"/>
      </w:pPr>
      <w:r>
        <w:t xml:space="preserve">Sincerely,</w:t>
      </w:r>
    </w:p>
    <w:p>
      <w:pPr>
        <w:pStyle w:val="BodyText"/>
        <w:spacing w:line="276" w:lineRule="auto" w:after="160"/>
      </w:pPr>
      <w:r>
        <w:t xml:space="preserve">[Corresponding author to be finalized before submission]</w:t>
      </w:r>
    </w:p>
    <w:p>
      <w:pPr>
        <w:pStyle w:val="BodyText"/>
        <w:spacing w:line="276" w:lineRule="auto" w:after="160"/>
      </w:pPr>
      <w:r>
        <w:t xml:space="preserve">Guangdong University of Petrochemical Technology (GDUPT)</w:t>
      </w:r>
    </w:p>
    <w:p>
      <w:pPr>
        <w:pStyle w:val="BodyText"/>
        <w:spacing w:line="276" w:lineRule="auto" w:after="160"/>
      </w:pPr>
      <w:r>
        <w:t xml:space="preserve">[corresponding author email to be finalized before submission]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2026-05-01T01:47:37Z</dcterms:created>
  <dcterms:modified xsi:type="dcterms:W3CDTF">2026-05-01T01:47:37Z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