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3f580bcd0b030b1a38092b24ab26212d28b18e"/>
    <w:p>
      <w:pPr>
        <w:pStyle w:val="Heading1"/>
        <w:spacing w:line="276" w:lineRule="auto" w:after="120"/>
      </w:pPr>
      <w:r>
        <w:rPr>
          <w:rFonts w:ascii="Arial" w:hAnsi="Arial"/>
        </w:rPr>
        <w:t xml:space="preserve">Supplementary Methods And Reproducibility Appendix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Manuscript title: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Spatial validation and clinical association of a plasma-secretory bone marrow program in multiple myeloma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Target journal: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BMC Medical Genomics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Date: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2026-05-01</w:t>
      </w:r>
    </w:p>
    <w:bookmarkStart w:id="9" w:name="scope"/>
    <w:p>
      <w:pPr>
        <w:pStyle w:val="Heading2"/>
        <w:spacing w:line="276" w:lineRule="auto" w:after="120"/>
      </w:pPr>
      <w:r>
        <w:rPr>
          <w:rFonts w:ascii="Arial" w:hAnsi="Arial"/>
        </w:rPr>
        <w:t xml:space="preserve">Scope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This appendix documents the public data inputs, analysis scripts, score construction rules, complete-case handling, and figure-output traceability used for the manuscript.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The appendix is designed to support reproducibility. It does not add new claims beyond the main manuscript.</w:t>
      </w:r>
    </w:p>
    <w:bookmarkEnd w:id="9"/>
    <w:bookmarkStart w:id="10" w:name="data-resources"/>
    <w:p>
      <w:pPr>
        <w:pStyle w:val="Heading2"/>
        <w:spacing w:line="276" w:lineRule="auto" w:after="120"/>
      </w:pPr>
      <w:r>
        <w:rPr>
          <w:rFonts w:ascii="Arial" w:hAnsi="Arial"/>
        </w:rPr>
        <w:t xml:space="preserve">Data Resources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Resource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Role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Data type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Main inclusion rule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Main output directory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GSE269875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Spatial discovery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Human bone marrow spatial transcriptomics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Processed human spatial matrices passing sample-level QC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analysis/spatial_candidate_signatures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GSE299193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Second spatial validation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Human bone marrow Xenium spatial transcriptomics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Cell-feature matrices from Ctrl, MGUS, SM, MM, and RM samples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analysis/gse299193_xenium_validation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GSE271107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Single-cell localization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Single-cell RNA-seq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Public single-cell expression data summarized by marker-inferred categories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analysis/scrna_gse271107_validation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GSE2658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External bulk support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Bulk expression microarray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Samples with expression and available FISH 1q21 annotation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analysis/plasma_secretory_subtype_refinement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GSE24080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External bulk support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Bulk expression microarray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Samples with expression and available milestone OS annotation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analysis/bulk_clinical_validation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MMRF-COMMPASS/GDC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Clinical bulk validation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Baseline CD138+ RNA-seq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Baseline visit-1 bone marrow CD138+ samples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analysis/commppass_gdc_validation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Skerget NG2024 public CoMMpass supplements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Molecular annotation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Public CoMMpass molecular annotation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Patient identifiers matched to local CoMMpass/GDC sample scores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analysis/skerget_ng2024_public_supplement</w:t>
            </w:r>
          </w:p>
        </w:tc>
      </w:tr>
    </w:tbl>
    <w:bookmarkEnd w:id="10"/>
    <w:bookmarkStart w:id="11" w:name="script-order"/>
    <w:p>
      <w:pPr>
        <w:pStyle w:val="Heading2"/>
        <w:spacing w:line="276" w:lineRule="auto" w:after="120"/>
      </w:pPr>
      <w:r>
        <w:rPr>
          <w:rFonts w:ascii="Arial" w:hAnsi="Arial"/>
        </w:rPr>
        <w:t xml:space="preserve">Script Order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Step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Script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Purpose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scripts/08_processed_spatial_matrix_qc.py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Check processed spatial matrices and sample-level QC fields.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scripts/09_preliminary_spatial_clustering.py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Generate preliminary spatial clustering and marker summaries.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scripts/10_sample_aware_spatial_signatures.py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Build sample-aware spatial program scores and candidate rankings.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scripts/11_gse271107_scrna_validation.py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Validate candidate localization in single-cell data.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scripts/12_bulk_clinical_validation.py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 external bulk expression cohorts and test available endpoints.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6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scripts/13_plasma_secretory_subtype_refinement.py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Refine the POU2AF1/XBP1/JCHAIN clinical subtype module.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7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scripts/14_commppass_gdc_validation.py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Build CoMMpass/GDC baseline CD138+ RNA-seq validation tables.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scripts/18_gse299193_xenium_validation.py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Validate the program-level spatial signal in GSE299193 Xenium data.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scripts/19_skerget_ng2024_public_supplement_audit.py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Audit and inventory NG2024 public CoMMpass supplementary files.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scripts/20_skerget_ng2024_molecular_annotation_validation.py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Join NG2024 annotations to local CoMMpass scores and test molecular-risk associations.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11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scripts/21_commppass_ng2024_adjusted_models.py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Fit adjusted OS, subtype, and molecular-risk models.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12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scripts/22_commppass_cox_ph_assumption_check.py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Screen Cox proportional hazards assumptions with Schoenfeld residuals.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13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Generate Fig. 1-6 and the cross-cohort evidence table.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  <w:jc w:val="right"/>
            </w:pPr>
            <w:r>
              <w:rPr>
                <w:rFonts w:ascii="Arial" w:hAnsi="Arial"/>
                <w:sz w:val="16"/>
              </w:rPr>
              <w:t xml:space="preserve">14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scripts/24_prepare_bmc_submission_package.py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Generate the editable manuscript DOCX and cover-letter DOCX.</w:t>
            </w:r>
          </w:p>
        </w:tc>
      </w:tr>
    </w:tbl>
    <w:bookmarkEnd w:id="11"/>
    <w:bookmarkStart w:id="12" w:name="score-construction"/>
    <w:p>
      <w:pPr>
        <w:pStyle w:val="Heading2"/>
        <w:spacing w:line="276" w:lineRule="auto" w:after="120"/>
      </w:pPr>
      <w:r>
        <w:rPr>
          <w:rFonts w:ascii="Arial" w:hAnsi="Arial"/>
        </w:rPr>
        <w:t xml:space="preserve">Score Construction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For each cohort, expression values were analyzed on the processed normalized scale available from the public resource, or after log transformation where count-like matrices were used.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For gene-level module scores: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Arial" w:hAnsi="Arial"/>
        </w:rPr>
        <w:t xml:space="preserve">Candidate genes were intersected with platform-available genes.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Arial" w:hAnsi="Arial"/>
        </w:rPr>
        <w:t xml:space="preserve">Available gene values were standardized within the cohort.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Arial" w:hAnsi="Arial"/>
        </w:rPr>
        <w:t xml:space="preserve">Module scores were calculated as the arithmetic mean of available standardized genes.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Arial" w:hAnsi="Arial"/>
        </w:rPr>
        <w:t xml:space="preserve">Missing genes were not imputed.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Arial" w:hAnsi="Arial"/>
        </w:rPr>
        <w:t xml:space="preserve">If no genes from a module were present, that module was not scored for that sample or platform.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Primary biological scores: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Genes or construct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Main use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Plasma-secretory score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Plasma-cell and secretory-pathway program genes available per platform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Main spatial, bulk, and CoMMpass axis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Clinical subtype module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POU2AF1, XBP1, JCHAIN where available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Clinical subtype and risk association support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Xenium panel-covered module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POU2AF1 and XBP1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GSE299193 panel-compatible validation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TXNDC5 expression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TXNDC5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Spatial/single-cell localization candidate</w:t>
            </w:r>
          </w:p>
        </w:tc>
      </w:tr>
    </w:tbl>
    <w:bookmarkEnd w:id="12"/>
    <w:bookmarkStart w:id="19" w:name="dataset-specific-notes"/>
    <w:p>
      <w:pPr>
        <w:pStyle w:val="Heading2"/>
        <w:spacing w:line="276" w:lineRule="auto" w:after="120"/>
      </w:pPr>
      <w:r>
        <w:rPr>
          <w:rFonts w:ascii="Arial" w:hAnsi="Arial"/>
        </w:rPr>
        <w:t xml:space="preserve">Dataset-Specific Notes</w:t>
      </w:r>
    </w:p>
    <w:bookmarkStart w:id="13" w:name="gse269875"/>
    <w:p>
      <w:pPr>
        <w:pStyle w:val="Heading3"/>
        <w:spacing w:line="276" w:lineRule="auto" w:after="120"/>
      </w:pPr>
      <w:r>
        <w:rPr>
          <w:rFonts w:ascii="Arial" w:hAnsi="Arial"/>
        </w:rPr>
        <w:t xml:space="preserve">GSE269875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Processed human bone marrow spatial matrices were used for discovery. Curated marrow and immune programs included plasma-secretory, myeloid-inflammatory, T/NK cytotoxic, stromal, endothelial, erythroid, and cycling states. Scores were summarized at sample level before MM-control comparison.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Main statistics reported:</w:t>
      </w:r>
    </w:p>
    <w:p>
      <w:pPr>
        <w:pStyle w:val="Compact"/>
        <w:numPr>
          <w:ilvl w:val="0"/>
          <w:numId w:val="1002"/>
        </w:numPr>
        <w:spacing w:line="276" w:lineRule="auto" w:after="120"/>
      </w:pPr>
      <w:r>
        <w:rPr>
          <w:rFonts w:ascii="Arial" w:hAnsi="Arial"/>
        </w:rPr>
        <w:t xml:space="preserve">Median difference.</w:t>
      </w:r>
    </w:p>
    <w:p>
      <w:pPr>
        <w:pStyle w:val="Compact"/>
        <w:numPr>
          <w:ilvl w:val="0"/>
          <w:numId w:val="1002"/>
        </w:numPr>
        <w:spacing w:line="276" w:lineRule="auto" w:after="120"/>
      </w:pPr>
      <w:r>
        <w:rPr>
          <w:rFonts w:ascii="Arial" w:hAnsi="Arial"/>
        </w:rPr>
        <w:t xml:space="preserve">Cohen’s d.</w:t>
      </w:r>
    </w:p>
    <w:p>
      <w:pPr>
        <w:pStyle w:val="Compact"/>
        <w:numPr>
          <w:ilvl w:val="0"/>
          <w:numId w:val="1002"/>
        </w:numPr>
        <w:spacing w:line="276" w:lineRule="auto" w:after="120"/>
      </w:pPr>
      <w:r>
        <w:rPr>
          <w:rFonts w:ascii="Arial" w:hAnsi="Arial"/>
        </w:rPr>
        <w:t xml:space="preserve">Mann-Whitney p value.</w:t>
      </w:r>
    </w:p>
    <w:bookmarkEnd w:id="13"/>
    <w:bookmarkStart w:id="14" w:name="gse299193"/>
    <w:p>
      <w:pPr>
        <w:pStyle w:val="Heading3"/>
        <w:spacing w:line="276" w:lineRule="auto" w:after="120"/>
      </w:pPr>
      <w:r>
        <w:rPr>
          <w:rFonts w:ascii="Arial" w:hAnsi="Arial"/>
        </w:rPr>
        <w:t xml:space="preserve">GSE299193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The raw Xenium archive was not fully extracted. The validation script extracted only cell-feature matrices and lightweight metadata needed for gene-panel scoring. This avoided unnecessary expansion of imaging and transcript-position files.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Disease grouping:</w:t>
      </w:r>
    </w:p>
    <w:p>
      <w:pPr>
        <w:pStyle w:val="Compact"/>
        <w:numPr>
          <w:ilvl w:val="0"/>
          <w:numId w:val="1003"/>
        </w:numPr>
        <w:spacing w:line="276" w:lineRule="auto" w:after="120"/>
      </w:pPr>
      <w:r>
        <w:rPr>
          <w:rFonts w:ascii="Arial" w:hAnsi="Arial"/>
        </w:rPr>
        <w:t xml:space="preserve">Active disease: MM and relapsed MM.</w:t>
      </w:r>
    </w:p>
    <w:p>
      <w:pPr>
        <w:pStyle w:val="Compact"/>
        <w:numPr>
          <w:ilvl w:val="0"/>
          <w:numId w:val="1003"/>
        </w:numPr>
        <w:spacing w:line="276" w:lineRule="auto" w:after="120"/>
      </w:pPr>
      <w:r>
        <w:rPr>
          <w:rFonts w:ascii="Arial" w:hAnsi="Arial"/>
        </w:rPr>
        <w:t xml:space="preserve">Non-active comparison: Ctrl, MGUS, and SM.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Interpretation boundary:</w:t>
      </w:r>
    </w:p>
    <w:p>
      <w:pPr>
        <w:pStyle w:val="Compact"/>
        <w:numPr>
          <w:ilvl w:val="0"/>
          <w:numId w:val="1004"/>
        </w:numPr>
        <w:spacing w:line="276" w:lineRule="auto" w:after="120"/>
      </w:pPr>
      <w:r>
        <w:rPr>
          <w:rFonts w:ascii="Arial" w:hAnsi="Arial"/>
        </w:rPr>
        <w:t xml:space="preserve">GSE299193 validates the program-level spatial signal.</w:t>
      </w:r>
    </w:p>
    <w:p>
      <w:pPr>
        <w:pStyle w:val="Compact"/>
        <w:numPr>
          <w:ilvl w:val="0"/>
          <w:numId w:val="1004"/>
        </w:numPr>
        <w:spacing w:line="276" w:lineRule="auto" w:after="120"/>
      </w:pPr>
      <w:r>
        <w:rPr>
          <w:rFonts w:ascii="Arial" w:hAnsi="Arial"/>
        </w:rPr>
        <w:t xml:space="preserve">It does not directly validate TXNDC5, JCHAIN, or SDC1 because these genes were absent from the extracted Xenium matrices.</w:t>
      </w:r>
    </w:p>
    <w:bookmarkEnd w:id="14"/>
    <w:bookmarkStart w:id="15" w:name="gse271107"/>
    <w:p>
      <w:pPr>
        <w:pStyle w:val="Heading3"/>
        <w:spacing w:line="276" w:lineRule="auto" w:after="120"/>
      </w:pPr>
      <w:r>
        <w:rPr>
          <w:rFonts w:ascii="Arial" w:hAnsi="Arial"/>
        </w:rPr>
        <w:t xml:space="preserve">GSE271107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Single-cell RNA-seq data were summarized by marker-inferred cell categories. The primary endpoint was whether candidate genes and module scores localized to plasma-cell compartments. Detection fraction was calculated as the fraction of observations with expression above zero.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Interpretation boundary:</w:t>
      </w:r>
    </w:p>
    <w:p>
      <w:pPr>
        <w:pStyle w:val="Compact"/>
        <w:numPr>
          <w:ilvl w:val="0"/>
          <w:numId w:val="1005"/>
        </w:numPr>
        <w:spacing w:line="276" w:lineRule="auto" w:after="120"/>
      </w:pPr>
      <w:r>
        <w:rPr>
          <w:rFonts w:ascii="Arial" w:hAnsi="Arial"/>
        </w:rPr>
        <w:t xml:space="preserve">This supports localization.</w:t>
      </w:r>
    </w:p>
    <w:p>
      <w:pPr>
        <w:pStyle w:val="Compact"/>
        <w:numPr>
          <w:ilvl w:val="0"/>
          <w:numId w:val="1005"/>
        </w:numPr>
        <w:spacing w:line="276" w:lineRule="auto" w:after="120"/>
      </w:pPr>
      <w:r>
        <w:rPr>
          <w:rFonts w:ascii="Arial" w:hAnsi="Arial"/>
        </w:rPr>
        <w:t xml:space="preserve">It does not establish TXNDC5 as a standalone prognostic biomarker.</w:t>
      </w:r>
    </w:p>
    <w:bookmarkEnd w:id="15"/>
    <w:bookmarkStart w:id="16" w:name="gse2658-and-gse24080"/>
    <w:p>
      <w:pPr>
        <w:pStyle w:val="Heading3"/>
        <w:spacing w:line="276" w:lineRule="auto" w:after="120"/>
      </w:pPr>
      <w:r>
        <w:rPr>
          <w:rFonts w:ascii="Arial" w:hAnsi="Arial"/>
        </w:rPr>
        <w:t xml:space="preserve">GSE2658 And GSE24080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External GEO bulk cohorts were used to test whether the spatially discovered axis related to available clinical or cytogenetic annotations outside the spatial datasets.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Endpoints:</w:t>
      </w:r>
    </w:p>
    <w:p>
      <w:pPr>
        <w:pStyle w:val="Compact"/>
        <w:numPr>
          <w:ilvl w:val="0"/>
          <w:numId w:val="1006"/>
        </w:numPr>
        <w:spacing w:line="276" w:lineRule="auto" w:after="120"/>
      </w:pPr>
      <w:r>
        <w:rPr>
          <w:rFonts w:ascii="Arial" w:hAnsi="Arial"/>
        </w:rPr>
        <w:t xml:space="preserve">GSE2658: FISH 1q21 amplification.</w:t>
      </w:r>
    </w:p>
    <w:p>
      <w:pPr>
        <w:pStyle w:val="Compact"/>
        <w:numPr>
          <w:ilvl w:val="0"/>
          <w:numId w:val="1006"/>
        </w:numPr>
        <w:spacing w:line="276" w:lineRule="auto" w:after="120"/>
      </w:pPr>
      <w:r>
        <w:rPr>
          <w:rFonts w:ascii="Arial" w:hAnsi="Arial"/>
        </w:rPr>
        <w:t xml:space="preserve">GSE24080: 24-month overall survival death.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Interpretation boundary:</w:t>
      </w:r>
    </w:p>
    <w:p>
      <w:pPr>
        <w:pStyle w:val="Compact"/>
        <w:numPr>
          <w:ilvl w:val="0"/>
          <w:numId w:val="1007"/>
        </w:numPr>
        <w:spacing w:line="276" w:lineRule="auto" w:after="120"/>
      </w:pPr>
      <w:r>
        <w:rPr>
          <w:rFonts w:ascii="Arial" w:hAnsi="Arial"/>
        </w:rPr>
        <w:t xml:space="preserve">These data support external association.</w:t>
      </w:r>
    </w:p>
    <w:p>
      <w:pPr>
        <w:pStyle w:val="Compact"/>
        <w:numPr>
          <w:ilvl w:val="0"/>
          <w:numId w:val="1007"/>
        </w:numPr>
        <w:spacing w:line="276" w:lineRule="auto" w:after="120"/>
      </w:pPr>
      <w:r>
        <w:rPr>
          <w:rFonts w:ascii="Arial" w:hAnsi="Arial"/>
        </w:rPr>
        <w:t xml:space="preserve">They do not establish uniform directional replication across all platforms.</w:t>
      </w:r>
    </w:p>
    <w:bookmarkEnd w:id="16"/>
    <w:bookmarkStart w:id="17" w:name="commpassgdc"/>
    <w:p>
      <w:pPr>
        <w:pStyle w:val="Heading3"/>
        <w:spacing w:line="276" w:lineRule="auto" w:after="120"/>
      </w:pPr>
      <w:r>
        <w:rPr>
          <w:rFonts w:ascii="Arial" w:hAnsi="Arial"/>
        </w:rPr>
        <w:t xml:space="preserve">CoMMpass/GDC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MMRF-COMMPASS/GDC RNA-seq files were filtered to baseline visit-1 bone marrow CD138+ samples. The final validation table contained 762 baseline samples. Gene-level TPM values were log-transformed and z-scored before module scoring.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Endpoints:</w:t>
      </w:r>
    </w:p>
    <w:p>
      <w:pPr>
        <w:pStyle w:val="Compact"/>
        <w:numPr>
          <w:ilvl w:val="0"/>
          <w:numId w:val="1008"/>
        </w:numPr>
        <w:spacing w:line="276" w:lineRule="auto" w:after="120"/>
      </w:pPr>
      <w:r>
        <w:rPr>
          <w:rFonts w:ascii="Arial" w:hAnsi="Arial"/>
        </w:rPr>
        <w:t xml:space="preserve">Overall survival event.</w:t>
      </w:r>
    </w:p>
    <w:p>
      <w:pPr>
        <w:pStyle w:val="Compact"/>
        <w:numPr>
          <w:ilvl w:val="0"/>
          <w:numId w:val="1008"/>
        </w:numPr>
        <w:spacing w:line="276" w:lineRule="auto" w:after="120"/>
      </w:pPr>
      <w:r>
        <w:rPr>
          <w:rFonts w:ascii="Arial" w:hAnsi="Arial"/>
        </w:rPr>
        <w:t xml:space="preserve">ISS ordinal stage.</w:t>
      </w:r>
    </w:p>
    <w:p>
      <w:pPr>
        <w:pStyle w:val="Compact"/>
        <w:numPr>
          <w:ilvl w:val="0"/>
          <w:numId w:val="1008"/>
        </w:numPr>
        <w:spacing w:line="276" w:lineRule="auto" w:after="120"/>
      </w:pPr>
      <w:r>
        <w:rPr>
          <w:rFonts w:ascii="Arial" w:hAnsi="Arial"/>
        </w:rPr>
        <w:t xml:space="preserve">Median-split overall survival.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Interpretation boundary:</w:t>
      </w:r>
    </w:p>
    <w:p>
      <w:pPr>
        <w:pStyle w:val="Compact"/>
        <w:numPr>
          <w:ilvl w:val="0"/>
          <w:numId w:val="1009"/>
        </w:numPr>
        <w:spacing w:line="276" w:lineRule="auto" w:after="120"/>
      </w:pPr>
      <w:r>
        <w:rPr>
          <w:rFonts w:ascii="Arial" w:hAnsi="Arial"/>
        </w:rPr>
        <w:t xml:space="preserve">These analyses support retrospective clinical association.</w:t>
      </w:r>
    </w:p>
    <w:p>
      <w:pPr>
        <w:pStyle w:val="Compact"/>
        <w:numPr>
          <w:ilvl w:val="0"/>
          <w:numId w:val="1009"/>
        </w:numPr>
        <w:spacing w:line="276" w:lineRule="auto" w:after="120"/>
      </w:pPr>
      <w:r>
        <w:rPr>
          <w:rFonts w:ascii="Arial" w:hAnsi="Arial"/>
        </w:rPr>
        <w:t xml:space="preserve">They do not complete R-ISS, PFS, or treatment-response validation.</w:t>
      </w:r>
    </w:p>
    <w:bookmarkEnd w:id="17"/>
    <w:bookmarkStart w:id="18" w:name="ng2024-public-commpass-annotation"/>
    <w:p>
      <w:pPr>
        <w:pStyle w:val="Heading3"/>
        <w:spacing w:line="276" w:lineRule="auto" w:after="120"/>
      </w:pPr>
      <w:r>
        <w:rPr>
          <w:rFonts w:ascii="Arial" w:hAnsi="Arial"/>
        </w:rPr>
        <w:t xml:space="preserve">NG2024 Public CoMMpass Annotation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Public Skerget et al. NG2024 supplementary tables were joined to local CoMMpass/GDC scores by patient identifier. Supplementary Table 1 matched all 762 local baseline samples. RNA-subtype probability analyses used complete cases; the PR subtype analysis contained 707 complete samples.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Molecular annotations tested:</w:t>
      </w:r>
    </w:p>
    <w:p>
      <w:pPr>
        <w:pStyle w:val="Compact"/>
        <w:numPr>
          <w:ilvl w:val="0"/>
          <w:numId w:val="1010"/>
        </w:numPr>
        <w:spacing w:line="276" w:lineRule="auto" w:after="120"/>
      </w:pPr>
      <w:r>
        <w:rPr>
          <w:rFonts w:ascii="Arial" w:hAnsi="Arial"/>
        </w:rPr>
        <w:t xml:space="preserve">PR RNA-subtype probability.</w:t>
      </w:r>
    </w:p>
    <w:p>
      <w:pPr>
        <w:pStyle w:val="Compact"/>
        <w:numPr>
          <w:ilvl w:val="0"/>
          <w:numId w:val="1010"/>
        </w:numPr>
        <w:spacing w:line="276" w:lineRule="auto" w:after="120"/>
      </w:pPr>
      <w:r>
        <w:rPr>
          <w:rFonts w:ascii="Arial" w:hAnsi="Arial"/>
        </w:rPr>
        <w:t xml:space="preserve">1q21 gain or amplification.</w:t>
      </w:r>
    </w:p>
    <w:p>
      <w:pPr>
        <w:pStyle w:val="Compact"/>
        <w:numPr>
          <w:ilvl w:val="0"/>
          <w:numId w:val="1010"/>
        </w:numPr>
        <w:spacing w:line="276" w:lineRule="auto" w:after="120"/>
      </w:pPr>
      <w:r>
        <w:rPr>
          <w:rFonts w:ascii="Arial" w:hAnsi="Arial"/>
        </w:rPr>
        <w:t xml:space="preserve">17p13 deletion.</w:t>
      </w:r>
    </w:p>
    <w:p>
      <w:pPr>
        <w:pStyle w:val="Compact"/>
        <w:numPr>
          <w:ilvl w:val="0"/>
          <w:numId w:val="1010"/>
        </w:numPr>
        <w:spacing w:line="276" w:lineRule="auto" w:after="120"/>
      </w:pPr>
      <w:r>
        <w:rPr>
          <w:rFonts w:ascii="Arial" w:hAnsi="Arial"/>
        </w:rPr>
        <w:t xml:space="preserve">RNA-subtype categories.</w:t>
      </w:r>
    </w:p>
    <w:p>
      <w:pPr>
        <w:pStyle w:val="Compact"/>
        <w:numPr>
          <w:ilvl w:val="0"/>
          <w:numId w:val="1010"/>
        </w:numPr>
        <w:spacing w:line="276" w:lineRule="auto" w:after="120"/>
      </w:pPr>
      <w:r>
        <w:rPr>
          <w:rFonts w:ascii="Arial" w:hAnsi="Arial"/>
        </w:rPr>
        <w:t xml:space="preserve">Cytogenetic high-risk annotations available in the public supplement.</w:t>
      </w:r>
    </w:p>
    <w:bookmarkEnd w:id="18"/>
    <w:bookmarkEnd w:id="19"/>
    <w:bookmarkStart w:id="20" w:name="complete-case-rules"/>
    <w:p>
      <w:pPr>
        <w:pStyle w:val="Heading2"/>
        <w:spacing w:line="276" w:lineRule="auto" w:after="120"/>
      </w:pPr>
      <w:r>
        <w:rPr>
          <w:rFonts w:ascii="Arial" w:hAnsi="Arial"/>
        </w:rPr>
        <w:t xml:space="preserve">Complete-Case Rules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Complete-case analysis was performed separately for each endpoint.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Examples: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Analysis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Required fields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OS event association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OS event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ISS association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ISS stage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Median-split OS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OS time, OS event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Adjusted Cox model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age, sex, ISS stage, 1q21 status, OS time, OS event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PR subtype probability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PR probability, age, sex, ISS stage where adjusted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1q21 logistic model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Score, 1q21 status, age, sex, ISS stage</w:t>
            </w:r>
          </w:p>
        </w:tc>
      </w:tr>
    </w:tbl>
    <w:p>
      <w:pPr>
        <w:pStyle w:val="BodyText"/>
        <w:spacing w:line="276" w:lineRule="auto" w:after="120"/>
      </w:pPr>
      <w:r>
        <w:rPr>
          <w:rFonts w:ascii="Arial" w:hAnsi="Arial"/>
        </w:rPr>
        <w:t xml:space="preserve">Sample numbers therefore differ between endpoint families. The manuscript reports denominators when they are central to interpretation.</w:t>
      </w:r>
    </w:p>
    <w:bookmarkEnd w:id="20"/>
    <w:bookmarkStart w:id="21" w:name="multiple-testing"/>
    <w:p>
      <w:pPr>
        <w:pStyle w:val="Heading2"/>
        <w:spacing w:line="276" w:lineRule="auto" w:after="120"/>
      </w:pPr>
      <w:r>
        <w:rPr>
          <w:rFonts w:ascii="Arial" w:hAnsi="Arial"/>
        </w:rPr>
        <w:t xml:space="preserve">Multiple Testing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Benjamini-Hochberg FDR correction was applied within analysis families rather than across all analyses in the project.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Analysis families: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Spatial discovery program comparisons.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GSE299193 Xenium program and panel-covered gene comparisons.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Single-cell localization summaries.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External GEO bulk associations.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CoMMpass/GDC clinical associations.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NG2024 molecular annotation associations.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Adjusted CoMMpass/NG2024 model families.</w:t>
      </w:r>
    </w:p>
    <w:p>
      <w:pPr>
        <w:pStyle w:val="Compact"/>
        <w:numPr>
          <w:ilvl w:val="0"/>
          <w:numId w:val="1011"/>
        </w:numPr>
        <w:spacing w:line="276" w:lineRule="auto" w:after="120"/>
      </w:pPr>
      <w:r>
        <w:rPr>
          <w:rFonts w:ascii="Arial" w:hAnsi="Arial"/>
        </w:rPr>
        <w:t xml:space="preserve">Cox PH diagnostic screen.</w:t>
      </w:r>
    </w:p>
    <w:bookmarkEnd w:id="21"/>
    <w:bookmarkStart w:id="22" w:name="cox-proportional-hazards-diagnostic"/>
    <w:p>
      <w:pPr>
        <w:pStyle w:val="Heading2"/>
        <w:spacing w:line="276" w:lineRule="auto" w:after="120"/>
      </w:pPr>
      <w:r>
        <w:rPr>
          <w:rFonts w:ascii="Arial" w:hAnsi="Arial"/>
        </w:rPr>
        <w:t xml:space="preserve">Cox Proportional Hazards Diagnostic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The primary adjusted Cox model included age, sex, ISS stage, and 1q21 status. Schoenfeld residual correlations with log event time were used as a diagnostic screen.</w:t>
      </w:r>
    </w:p>
    <w:p>
      <w:pPr>
        <w:pStyle w:val="BodyText"/>
        <w:spacing w:line="276" w:lineRule="auto" w:after="120"/>
      </w:pPr>
      <w:r>
        <w:rPr>
          <w:rFonts w:ascii="Arial" w:hAnsi="Arial"/>
        </w:rPr>
        <w:t xml:space="preserve">Primary score terms:</w:t>
      </w:r>
    </w:p>
    <w:p>
      <w:pPr>
        <w:pStyle w:val="Compact"/>
        <w:numPr>
          <w:ilvl w:val="0"/>
          <w:numId w:val="1012"/>
        </w:numPr>
        <w:spacing w:line="276" w:lineRule="auto" w:after="120"/>
      </w:pPr>
      <w:r>
        <w:rPr>
          <w:rFonts w:ascii="Arial" w:hAnsi="Arial"/>
        </w:rPr>
        <w:t xml:space="preserve">Plasma-secretory score: rho=-0.0637, p=0.475, FDR=0.778.</w:t>
      </w:r>
    </w:p>
    <w:p>
      <w:pPr>
        <w:pStyle w:val="Compact"/>
        <w:numPr>
          <w:ilvl w:val="0"/>
          <w:numId w:val="1012"/>
        </w:numPr>
        <w:spacing w:line="276" w:lineRule="auto" w:after="120"/>
      </w:pPr>
      <w:r>
        <w:rPr>
          <w:rFonts w:ascii="Arial" w:hAnsi="Arial"/>
        </w:rPr>
        <w:t xml:space="preserve">POU2AF1/XBP1/JCHAIN module: rho=-0.0585, p=0.512, FDR=0.789.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The 1q21 covariate showed time-related residual structure in adjusted models. Therefore, Cox results are reported as retrospective adjusted association models, not prospective risk-prediction models.</w:t>
      </w:r>
    </w:p>
    <w:bookmarkEnd w:id="22"/>
    <w:bookmarkStart w:id="23" w:name="figure-traceability"/>
    <w:p>
      <w:pPr>
        <w:pStyle w:val="Heading2"/>
        <w:spacing w:line="276" w:lineRule="auto" w:after="120"/>
      </w:pPr>
      <w:r>
        <w:rPr>
          <w:rFonts w:ascii="Arial" w:hAnsi="Arial"/>
        </w:rPr>
        <w:t xml:space="preserve">Figure Traceability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Figure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Primary script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Primary output files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1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analysis/manuscript_figures/fig1_study_design_evidence_chain.*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2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scripts/10_sample_aware_spatial_signatures.py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analysis/manuscript_figures/fig2_spatial_plasma_secretory_discovery.*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3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scripts/11_gse271107_scrna_validation.py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analysis/manuscript_figures/fig3_scrna_plasma_secretory_localization.*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4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scripts/12_bulk_clinical_validation.py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scripts/13_plasma_secretory_subtype_refinement.py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analysis/manuscript_figures/fig4_geo_bulk_clinical_support.*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5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scripts/14_commppass_gdc_validation.py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scripts/20_skerget_ng2024_molecular_annotation_validation.py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scripts/21_commppass_ng2024_adjusted_models.py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analysis/manuscript_figures/fig5_commppass_os_iss_validation.*</w:t>
            </w:r>
          </w:p>
        </w:tc>
      </w:tr>
      <w:tr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Fonts w:ascii="Arial" w:hAnsi="Arial"/>
                <w:sz w:val="16"/>
              </w:rPr>
              <w:t xml:space="preserve">Fig. 6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scripts/18_gse299193_xenium_validation.py</w:t>
            </w:r>
            <w:r>
              <w:rPr>
                <w:rFonts w:ascii="Arial" w:hAnsi="Arial"/>
                <w:sz w:val="16"/>
              </w:rPr>
              <w:t xml:space="preserve">;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Style w:val="VerbatimChar"/>
                <w:rFonts w:ascii="Arial" w:hAnsi="Arial"/>
                <w:sz w:val="16"/>
              </w:rPr>
              <w:t xml:space="preserve">scripts/15_build_manuscript_figures.py</w:t>
            </w:r>
          </w:p>
        </w:tc>
        <w:tc>
          <w:tcPr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Compact"/>
              <w:spacing w:line="252" w:lineRule="auto" w:after="0"/>
            </w:pPr>
            <w:r>
              <w:rPr>
                <w:rStyle w:val="VerbatimChar"/>
                <w:rFonts w:ascii="Arial" w:hAnsi="Arial"/>
                <w:sz w:val="16"/>
              </w:rPr>
              <w:t xml:space="preserve">analysis/manuscript_figures/fig6_gse299193_xenium_spatial_validation.*</w:t>
            </w:r>
          </w:p>
        </w:tc>
      </w:tr>
    </w:tbl>
    <w:p>
      <w:pPr>
        <w:pStyle w:val="BodyText"/>
        <w:spacing w:line="276" w:lineRule="auto" w:after="120"/>
      </w:pPr>
      <w:r>
        <w:rPr>
          <w:rFonts w:ascii="Arial" w:hAnsi="Arial"/>
        </w:rPr>
        <w:t xml:space="preserve">Each figure is available as PNG, PDF, and SVG in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analysis/manuscript_figures</w:t>
      </w:r>
      <w:r>
        <w:rPr>
          <w:rFonts w:ascii="Arial" w:hAnsi="Arial"/>
        </w:rPr>
        <w:t xml:space="preserve">.</w:t>
      </w:r>
    </w:p>
    <w:bookmarkEnd w:id="23"/>
    <w:bookmarkStart w:id="24" w:name="claim-boundaries"/>
    <w:p>
      <w:pPr>
        <w:pStyle w:val="Heading2"/>
        <w:spacing w:line="276" w:lineRule="auto" w:after="120"/>
      </w:pPr>
      <w:r>
        <w:rPr>
          <w:rFonts w:ascii="Arial" w:hAnsi="Arial"/>
        </w:rPr>
        <w:t xml:space="preserve">Claim Boundaries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The current manuscript supports:</w:t>
      </w:r>
    </w:p>
    <w:p>
      <w:pPr>
        <w:pStyle w:val="Compact"/>
        <w:numPr>
          <w:ilvl w:val="0"/>
          <w:numId w:val="1013"/>
        </w:numPr>
        <w:spacing w:line="276" w:lineRule="auto" w:after="120"/>
      </w:pPr>
      <w:r>
        <w:rPr>
          <w:rFonts w:ascii="Arial" w:hAnsi="Arial"/>
        </w:rPr>
        <w:t xml:space="preserve">Spatial discovery of a plasma-secretory bone marrow program.</w:t>
      </w:r>
    </w:p>
    <w:p>
      <w:pPr>
        <w:pStyle w:val="Compact"/>
        <w:numPr>
          <w:ilvl w:val="0"/>
          <w:numId w:val="1013"/>
        </w:numPr>
        <w:spacing w:line="276" w:lineRule="auto" w:after="120"/>
      </w:pPr>
      <w:r>
        <w:rPr>
          <w:rFonts w:ascii="Arial" w:hAnsi="Arial"/>
        </w:rPr>
        <w:t xml:space="preserve">Independent program-level spatial validation in GSE299193.</w:t>
      </w:r>
    </w:p>
    <w:p>
      <w:pPr>
        <w:pStyle w:val="Compact"/>
        <w:numPr>
          <w:ilvl w:val="0"/>
          <w:numId w:val="1013"/>
        </w:numPr>
        <w:spacing w:line="276" w:lineRule="auto" w:after="120"/>
      </w:pPr>
      <w:r>
        <w:rPr>
          <w:rFonts w:ascii="Arial" w:hAnsi="Arial"/>
        </w:rPr>
        <w:t xml:space="preserve">Plasma-cell localization in single-cell data.</w:t>
      </w:r>
    </w:p>
    <w:p>
      <w:pPr>
        <w:pStyle w:val="Compact"/>
        <w:numPr>
          <w:ilvl w:val="0"/>
          <w:numId w:val="1013"/>
        </w:numPr>
        <w:spacing w:line="276" w:lineRule="auto" w:after="120"/>
      </w:pPr>
      <w:r>
        <w:rPr>
          <w:rFonts w:ascii="Arial" w:hAnsi="Arial"/>
        </w:rPr>
        <w:t xml:space="preserve">External bulk support for a clinical subtype/risk axis.</w:t>
      </w:r>
    </w:p>
    <w:p>
      <w:pPr>
        <w:pStyle w:val="Compact"/>
        <w:numPr>
          <w:ilvl w:val="0"/>
          <w:numId w:val="1013"/>
        </w:numPr>
        <w:spacing w:line="276" w:lineRule="auto" w:after="120"/>
      </w:pPr>
      <w:r>
        <w:rPr>
          <w:rFonts w:ascii="Arial" w:hAnsi="Arial"/>
        </w:rPr>
        <w:t xml:space="preserve">Retrospective CoMMpass/GDC and NG2024 clinical/molecular associations.</w:t>
      </w:r>
    </w:p>
    <w:p>
      <w:pPr>
        <w:pStyle w:val="FirstParagraph"/>
        <w:spacing w:line="276" w:lineRule="auto" w:after="120"/>
      </w:pPr>
      <w:r>
        <w:rPr>
          <w:rFonts w:ascii="Arial" w:hAnsi="Arial"/>
        </w:rPr>
        <w:t xml:space="preserve">The current manuscript does not claim: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A standalone clinical biomarker.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A prospective classifier.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Treatment-selection utility.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Completed R-ISS validation.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Completed PFS validation.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Completed treatment-response validation.</w:t>
      </w:r>
    </w:p>
    <w:p>
      <w:pPr>
        <w:pStyle w:val="Compact"/>
        <w:numPr>
          <w:ilvl w:val="0"/>
          <w:numId w:val="1014"/>
        </w:numPr>
        <w:spacing w:line="276" w:lineRule="auto" w:after="120"/>
      </w:pPr>
      <w:r>
        <w:rPr>
          <w:rFonts w:ascii="Arial" w:hAnsi="Arial"/>
        </w:rPr>
        <w:t xml:space="preserve">Direct GSE299193 validation of TXNDC5, JCHAIN, or SDC1.</w:t>
      </w:r>
    </w:p>
    <w:bookmarkEnd w:id="24"/>
    <w:bookmarkEnd w:id="25"/>
    <w:sectPr>
      <w:footnotePr>
        <w:numRestart w:val="eachSect"/>
      </w:footnotePr>
      <w:pgSz w:orient="landscape"/>
      <w:pgMar w:top="936" w:bottom="936" w:left="936" w:right="93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2026-05-01T01:37:43Z</dcterms:created>
  <dcterms:modified xsi:type="dcterms:W3CDTF">2026-05-01T01:37:43Z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