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2"/>
        </w:rPr>
        <w:t>Table 1. Cross-Cohort Evidence Chain And Manuscript Claim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1944"/>
            <w:vAlign w:val="center"/>
            <w:shd w:fill="1F4E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Evidence layer</w:t>
            </w:r>
          </w:p>
        </w:tc>
        <w:tc>
          <w:tcPr>
            <w:tcW w:type="dxa" w:w="1007"/>
            <w:vAlign w:val="center"/>
            <w:shd w:fill="1F4E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Figure</w:t>
            </w:r>
          </w:p>
        </w:tc>
        <w:tc>
          <w:tcPr>
            <w:tcW w:type="dxa" w:w="2808"/>
            <w:vAlign w:val="center"/>
            <w:shd w:fill="1F4E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Cohort</w:t>
            </w:r>
          </w:p>
        </w:tc>
        <w:tc>
          <w:tcPr>
            <w:tcW w:type="dxa" w:w="5040"/>
            <w:vAlign w:val="center"/>
            <w:shd w:fill="1F4E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Main result</w:t>
            </w:r>
          </w:p>
        </w:tc>
        <w:tc>
          <w:tcPr>
            <w:tcW w:type="dxa" w:w="3384"/>
            <w:vAlign w:val="center"/>
            <w:shd w:fill="1F4E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Claim boundary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Study design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1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Seven public/open data resources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Sequential spatial, single-cell, bulk, and molecular annotation workflow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Integrative public-data framework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Spatial discovery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2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GSE269875, 9 spatial samples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MM-control plasma-secretory median difference 0.709; Cohen's d 3.129; p=0.0256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Discovery signal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Second spatial validation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6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GSE299193, 22 Xenium samples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Active MM/RM versus Ctrl/MGUS/SM median difference 0.766; FDR=0.000575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Program-level spatial validation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Single-cell localization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3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GSE271107, 8007 cells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TXNDC5 detected in 94.86% of marker-inferred plasma-cell observations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Localization support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External bulk support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4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GSE2658 and GSE24080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Clinical module associated with 1q21 amplification; XBP1 associated with 24-month OS death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Subtype/risk association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CoMMpass/GDC clinical association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5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762 baseline CD138+ RNA-seq samples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Plasma-secretory score associated with OS event, ISS stage, and median-split OS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Retrospective clinical association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Public NG2024 annotation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5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Public CoMMpass molecular annotations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Score associated with PR subtype probability and 1q21 gain/amplification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Molecular-risk context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Adjusted models</w:t>
            </w:r>
          </w:p>
        </w:tc>
        <w:tc>
          <w:tcPr>
            <w:tcW w:type="dxa" w:w="100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Fig. 5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660 complete cases</w:t>
            </w:r>
          </w:p>
        </w:tc>
        <w:tc>
          <w:tcPr>
            <w:tcW w:type="dxa" w:w="50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OS HR 1.460 per 1-SD plasma-secretory score after age, sex, ISS, and 1q21 adjustment</w:t>
            </w:r>
          </w:p>
        </w:tc>
        <w:tc>
          <w:tcPr>
            <w:tcW w:type="dxa" w:w="33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Covariate-adjusted association</w:t>
            </w:r>
          </w:p>
        </w:tc>
      </w:tr>
    </w:tbl>
    <w:p>
      <w:pPr>
        <w:spacing w:before="160"/>
      </w:pPr>
      <w:r>
        <w:rPr>
          <w:rFonts w:ascii="Arial" w:hAnsi="Arial"/>
          <w:sz w:val="17"/>
        </w:rPr>
        <w:t>Note: Table 1 is intended as a main manuscript table. It may be uploaded as a separate editable table file or inserted near the end of the manuscript after final journal formatting decisions.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