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Maoming,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Zhuang Jiang</w:t>
      </w:r>
    </w:p>
    <w:p>
      <w:pPr>
        <w:pStyle w:val="BodyText"/>
        <w:spacing w:line="480" w:lineRule="auto" w:after="120"/>
      </w:pPr>
      <w:r>
        <w:t xml:space="preserve">Email: 1627626277@qq.com</w:t>
      </w:r>
    </w:p>
    <w:p>
      <w:pPr>
        <w:pStyle w:val="BodyText"/>
        <w:spacing w:line="480" w:lineRule="auto" w:after="120"/>
      </w:pPr>
      <w:r>
        <w:t xml:space="preserve">Address: Guangdong University of Petrochemical Technology (GDUPT), Maoming, Guangdong, China. [Detailed address to be confirmed]</w:t>
      </w:r>
    </w:p>
    <w:bookmarkEnd w:id="13"/>
    <w:bookmarkStart w:id="14" w:name="orcid"/>
    <w:p>
      <w:pPr>
        <w:pStyle w:val="Heading2"/>
        <w:spacing w:line="480" w:lineRule="auto" w:after="120"/>
      </w:pPr>
      <w:r>
        <w:t xml:space="preserve">ORCID</w:t>
      </w:r>
    </w:p>
    <w:p>
      <w:pPr>
        <w:pStyle w:val="FirstParagraph"/>
        <w:spacing w:line="480" w:lineRule="auto" w:after="120"/>
      </w:pPr>
      <w:r>
        <w:t xml:space="preserve">Zhuang Jiang: https://orcid.org/0009-0007-4388-5901</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Approximate manuscript word count excluding references: 2,819.</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Main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4"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w:t>
      </w:r>
    </w:p>
    <w:p>
      <w:pPr>
        <w:pStyle w:val="BodyText"/>
        <w:spacing w:line="480" w:lineRule="auto" w:after="120"/>
      </w:pPr>
      <w:r>
        <w:t xml:space="preserve">The layers were spatial discovery, second spatial validation, single-cell localization, external bulk validation, CoMMpass/GDC validation, and NG2024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6"/>
    <w:bookmarkStart w:id="27"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7"/>
    <w:bookmarkStart w:id="28"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8"/>
    <w:bookmarkStart w:id="29"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29"/>
    <w:bookmarkStart w:id="30"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0"/>
    <w:bookmarkStart w:id="31"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1"/>
    <w:bookmarkStart w:id="32"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Complete-case analysis was used for models requiring covariates.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2"/>
    <w:bookmarkStart w:id="33"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bookmarkEnd w:id="33"/>
    <w:bookmarkEnd w:id="34"/>
    <w:bookmarkStart w:id="42" w:name="results-1"/>
    <w:p>
      <w:pPr>
        <w:pStyle w:val="Heading2"/>
        <w:spacing w:line="480" w:lineRule="auto" w:after="120"/>
      </w:pPr>
      <w:r>
        <w:t xml:space="preserve">Results</w:t>
      </w:r>
    </w:p>
    <w:bookmarkStart w:id="35" w:name="Xbedf0eae804067c95bc3702ff6b33480e6d0b99"/>
    <w:p>
      <w:pPr>
        <w:pStyle w:val="Heading3"/>
        <w:spacing w:line="480" w:lineRule="auto" w:after="120"/>
      </w:pPr>
      <w:r>
        <w:t xml:space="preserve">Spatial transcriptomics identified a plasma-secretory program in myeloma bone marrow</w:t>
      </w:r>
    </w:p>
    <w:p>
      <w:pPr>
        <w:pStyle w:val="FirstParagraph"/>
        <w:spacing w:line="480" w:lineRule="auto" w:after="120"/>
      </w:pPr>
      <w:r>
        <w:t xml:space="preserve">We first analyzed GSE269875 human bone marrow spatial transcriptomics data [15]. Sample-level module scores were calculated for curated cell-state programs. These included plasma-secretory, myeloid-inflammatory, T/NK cytotoxic, stromal, endothelial, erythroid, and cycling programs.</w:t>
      </w:r>
    </w:p>
    <w:p>
      <w:pPr>
        <w:pStyle w:val="BodyText"/>
        <w:spacing w:line="480" w:lineRule="auto" w:after="120"/>
      </w:pPr>
      <w:r>
        <w:t xml:space="preserve">The plasma-secretory program showed the strongest myeloma enrichment. Myeloma samples had higher scores than control samples. The median difference was 0.709. The Cohen’s d was 3.129. The Mann-Whitney p value was 0.0256 (Fig. 2).</w:t>
      </w:r>
    </w:p>
    <w:p>
      <w:pPr>
        <w:pStyle w:val="BodyText"/>
        <w:spacing w:line="480" w:lineRule="auto" w:after="120"/>
      </w:pPr>
      <w:r>
        <w:t xml:space="preserve">Gene-level ranking prioritized canonical plasma-cell and secretory markers. These included XBP1, TXNDC5, POU2AF1, SDC1, MZB1, and JCHAIN. This result established a spatial discovery signal. It did not establish a standalone clinical biomarker.</w:t>
      </w:r>
    </w:p>
    <w:bookmarkEnd w:id="35"/>
    <w:bookmarkStart w:id="36" w:name="Xff573d30b053f314212c6260bdaceda26df19f9"/>
    <w:p>
      <w:pPr>
        <w:pStyle w:val="Heading3"/>
        <w:spacing w:line="480" w:lineRule="auto" w:after="120"/>
      </w:pPr>
      <w:r>
        <w:t xml:space="preserve">GSE299193 reproduced the spatial signal at program level</w:t>
      </w:r>
    </w:p>
    <w:p>
      <w:pPr>
        <w:pStyle w:val="FirstParagraph"/>
        <w:spacing w:line="480" w:lineRule="auto" w:after="120"/>
      </w:pPr>
      <w:r>
        <w:t xml:space="preserve">We next tested whether the spatial signal generalized to an independent platform. GSE299193 Xenium data included 22 human bone marrow samples [10,16]. The cohort contained Ctrl, MGUS, SM, MM, and relapsed MM groups.</w:t>
      </w:r>
    </w:p>
    <w:p>
      <w:pPr>
        <w:pStyle w:val="BodyText"/>
        <w:spacing w:line="480" w:lineRule="auto" w:after="120"/>
      </w:pPr>
      <w:r>
        <w:t xml:space="preserve">The plasma-secretory score was higher in active MM/RM samples than Ctrl/MGUS/SM samples. The median difference was 0.766. The Mann-Whitney p value was 0.000182. The FDR was 0.000575 (Fig. 6).</w:t>
      </w:r>
    </w:p>
    <w:p>
      <w:pPr>
        <w:pStyle w:val="BodyText"/>
        <w:spacing w:line="480" w:lineRule="auto" w:after="120"/>
      </w:pPr>
      <w:r>
        <w:t xml:space="preserve">A panel-covered POU2AF1/XBP1 module showed a similar pattern. The median difference was 1.068. The p value was 0.000287. The FDR was 0.000575.</w:t>
      </w:r>
    </w:p>
    <w:p>
      <w:pPr>
        <w:pStyle w:val="BodyText"/>
        <w:spacing w:line="480" w:lineRule="auto" w:after="120"/>
      </w:pPr>
      <w:r>
        <w:t xml:space="preserve">The Xenium feature matrices contained MZB1, TNFRSF17, SLAMF7, IRF4, PIM2, POU2AF1, and XBP1. They did not contain TXNDC5, JCHAIN, or SDC1. GSE299193 therefore validates the program-level spatial signal. It does not directly validate those absent genes.</w:t>
      </w:r>
    </w:p>
    <w:bookmarkEnd w:id="36"/>
    <w:bookmarkStart w:id="37" w:name="X66ed58ed648c72765f1e3be1194156c11dc3c41"/>
    <w:p>
      <w:pPr>
        <w:pStyle w:val="Heading3"/>
        <w:spacing w:line="480" w:lineRule="auto" w:after="120"/>
      </w:pPr>
      <w:r>
        <w:t xml:space="preserve">Single-cell data localized the axis to plasma-cell compartments</w:t>
      </w:r>
    </w:p>
    <w:p>
      <w:pPr>
        <w:pStyle w:val="FirstParagraph"/>
        <w:spacing w:line="480" w:lineRule="auto" w:after="120"/>
      </w:pPr>
      <w:r>
        <w:t xml:space="preserve">We then analyzed GSE271107 single-cell RNA-seq data [11,17]. Cells were summarized by marker-inferred cell categories. Plasma cells showed the strongest plasma-secretory score among broad cell types (Fig. 3).</w:t>
      </w:r>
    </w:p>
    <w:p>
      <w:pPr>
        <w:pStyle w:val="BodyText"/>
        <w:spacing w:line="480" w:lineRule="auto" w:after="120"/>
      </w:pPr>
      <w:r>
        <w:t xml:space="preserve">TXNDC5 was consistently expressed in marker-inferred plasma cells. The mean log-normalized expression was 2.196. The detection fraction was 94.86 percent across summarized plasma-cell observations.</w:t>
      </w:r>
    </w:p>
    <w:p>
      <w:pPr>
        <w:pStyle w:val="BodyText"/>
        <w:spacing w:line="480" w:lineRule="auto" w:after="120"/>
      </w:pPr>
      <w:r>
        <w:t xml:space="preserve">These findings support TXNDC5 as a localization candidate. They do not support presenting TXNDC5 as a standalone prognostic biomarker.</w:t>
      </w:r>
    </w:p>
    <w:bookmarkEnd w:id="37"/>
    <w:bookmarkStart w:id="38" w:name="Xea6571e047fe08439d23d71f22f36464d70ae82"/>
    <w:p>
      <w:pPr>
        <w:pStyle w:val="Heading3"/>
        <w:spacing w:line="480" w:lineRule="auto" w:after="120"/>
      </w:pPr>
      <w:r>
        <w:t xml:space="preserve">External bulk cohorts supported a clinical subtype module</w:t>
      </w:r>
    </w:p>
    <w:p>
      <w:pPr>
        <w:pStyle w:val="FirstParagraph"/>
        <w:spacing w:line="480" w:lineRule="auto" w:after="120"/>
      </w:pPr>
      <w:r>
        <w:t xml:space="preserve">We evaluated independent bulk cohorts to test clinical relevance. GSE2658 and GSE24080 provided expression data with available clinical or cytogenetic annotations [18,19,23,24].</w:t>
      </w:r>
    </w:p>
    <w:p>
      <w:pPr>
        <w:pStyle w:val="BodyText"/>
        <w:spacing w:line="480" w:lineRule="auto" w:after="120"/>
      </w:pPr>
      <w:r>
        <w:t xml:space="preserve">In GSE2658, the POU2AF1/XBP1/JCHAIN module was associated with 1q21 amplification. The FDR was 1.65e-05. In GSE24080, XBP1 was associated with 24-month overall survival death. The FDR was 0.0362 (Fig. 4).</w:t>
      </w:r>
    </w:p>
    <w:p>
      <w:pPr>
        <w:pStyle w:val="BodyText"/>
        <w:spacing w:line="480" w:lineRule="auto" w:after="120"/>
      </w:pPr>
      <w:r>
        <w:t xml:space="preserve">These results shifted the clinical framing. The stronger clinical construct is the broader plasma-secretory axis. TXNDC5 remains a localization candidate within that axis.</w:t>
      </w:r>
    </w:p>
    <w:bookmarkEnd w:id="38"/>
    <w:bookmarkStart w:id="39" w:name="X8eb576c77c1169b366c106306722e15148e72b3"/>
    <w:p>
      <w:pPr>
        <w:pStyle w:val="Heading3"/>
        <w:spacing w:line="480" w:lineRule="auto" w:after="120"/>
      </w:pPr>
      <w:r>
        <w:t xml:space="preserve">CoMMpass/GDC linked the axis to survival and ISS</w:t>
      </w:r>
    </w:p>
    <w:p>
      <w:pPr>
        <w:pStyle w:val="FirstParagraph"/>
        <w:spacing w:line="480" w:lineRule="auto" w:after="120"/>
      </w:pPr>
      <w:r>
        <w:t xml:space="preserve">We next tested the axis in 762 baseline MMRF-COMMPASS/GDC CD138+ RNA-seq samples [14,20]. The plasma-secretory score was associated with overall survival event. The event-versus-nonevent median difference was 0.346. The FDR was 9.31e-06 (Fig. 5).</w:t>
      </w:r>
    </w:p>
    <w:p>
      <w:pPr>
        <w:pStyle w:val="BodyText"/>
        <w:spacing w:line="480" w:lineRule="auto" w:after="120"/>
      </w:pPr>
      <w:r>
        <w:t xml:space="preserve">The same score was associated with ISS ordinal stage. The Spearman rho was 0.132. The p value was 0.000316. The FDR was 0.0019.</w:t>
      </w:r>
    </w:p>
    <w:p>
      <w:pPr>
        <w:pStyle w:val="BodyText"/>
        <w:spacing w:line="480" w:lineRule="auto" w:after="120"/>
      </w:pPr>
      <w:r>
        <w:t xml:space="preserve">Median-split survival analysis also supported the association. Patients with higher plasma-secretory score had worse overall survival. The log-rank p value was 0.00668. The FDR was 0.0401.</w:t>
      </w:r>
    </w:p>
    <w:bookmarkEnd w:id="39"/>
    <w:bookmarkStart w:id="40" w:name="X97b91193cfcd66b1d16de4bc30458b53ae919dc"/>
    <w:p>
      <w:pPr>
        <w:pStyle w:val="Heading3"/>
        <w:spacing w:line="480" w:lineRule="auto" w:after="120"/>
      </w:pPr>
      <w:r>
        <w:t xml:space="preserve">Public NG2024 annotations connected the axis to molecular risk</w:t>
      </w:r>
    </w:p>
    <w:p>
      <w:pPr>
        <w:pStyle w:val="FirstParagraph"/>
        <w:spacing w:line="480" w:lineRule="auto" w:after="120"/>
      </w:pPr>
      <w:r>
        <w:t xml:space="preserve">We joined public NG2024 CoMMpass molecular annotations to local CoMMpass scores [1]. Table 1 matched 762 of 762 baseline samples. Table 7 RNA-subtype predictions matched 707 samples.</w:t>
      </w:r>
    </w:p>
    <w:p>
      <w:pPr>
        <w:pStyle w:val="BodyText"/>
        <w:spacing w:line="480" w:lineRule="auto" w:after="120"/>
      </w:pPr>
      <w:r>
        <w:t xml:space="preserve">The plasma-secretory score correlated with PR RNA-subtype probability. The Spearman rho was 0.340. The FDR was 5.43e-19. The score was also higher in samples with 1q21 gain or amplification. The median difference was 0.268. The FDR was 1.24e-05.</w:t>
      </w:r>
    </w:p>
    <w:p>
      <w:pPr>
        <w:pStyle w:val="BodyText"/>
        <w:spacing w:line="480" w:lineRule="auto" w:after="120"/>
      </w:pPr>
      <w:r>
        <w:t xml:space="preserve">TXNDC5 expression was associated with 1q21 gain or amplification. The median difference was 0.231. The FDR was 0.00843. POU2AF1 was associated with 17p13 deletion. The median difference was 0.337. The FDR was 0.00533.</w:t>
      </w:r>
    </w:p>
    <w:bookmarkEnd w:id="40"/>
    <w:bookmarkStart w:id="41" w:name="Xbf7440c859ef11c91d9b1f42a6d81760e7c18c3"/>
    <w:p>
      <w:pPr>
        <w:pStyle w:val="Heading3"/>
        <w:spacing w:line="480" w:lineRule="auto" w:after="120"/>
      </w:pPr>
      <w:r>
        <w:t xml:space="preserve">Adjusted models supported an independent OS association</w:t>
      </w:r>
    </w:p>
    <w:p>
      <w:pPr>
        <w:pStyle w:val="FirstParagraph"/>
        <w:spacing w:line="480" w:lineRule="auto" w:after="120"/>
      </w:pPr>
      <w:r>
        <w:t xml:space="preserve">We tested whether the CoMMpass survival association persisted after basic adjustment. The prespecified Cox model included age, sex, ISS, and 1q21 status.</w:t>
      </w:r>
    </w:p>
    <w:p>
      <w:pPr>
        <w:pStyle w:val="BodyText"/>
        <w:spacing w:line="480" w:lineRule="auto" w:after="120"/>
      </w:pPr>
      <w:r>
        <w:t xml:space="preserve">The plasma-secretory score remained associated with overall survival. The hazard ratio was 1.460 per standard deviation. The 95% confidence interval was 1.069-1.993. The p value was 0.0173. The FDR was 0.0445.</w:t>
      </w:r>
    </w:p>
    <w:p>
      <w:pPr>
        <w:pStyle w:val="BodyText"/>
        <w:spacing w:line="480" w:lineRule="auto" w:after="120"/>
      </w:pPr>
      <w:r>
        <w:t xml:space="preserve">The POU2AF1/XBP1/JCHAIN module also remained associated with survival. The hazard ratio was 1.434. The 95% confidence interval was 1.090-1.886. The FDR was 0.0299.</w:t>
      </w:r>
    </w:p>
    <w:p>
      <w:pPr>
        <w:pStyle w:val="BodyText"/>
        <w:spacing w:line="480" w:lineRule="auto" w:after="120"/>
      </w:pPr>
      <w:r>
        <w:t xml:space="preserve">These models support covariate-adjusted association. They do not establish clinical utility.</w:t>
      </w:r>
    </w:p>
    <w:bookmarkEnd w:id="41"/>
    <w:bookmarkEnd w:id="42"/>
    <w:bookmarkStart w:id="43"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3"/>
    <w:bookmarkStart w:id="44"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4"/>
    <w:bookmarkStart w:id="53" w:name="declarations"/>
    <w:p>
      <w:pPr>
        <w:pStyle w:val="Heading2"/>
        <w:spacing w:line="480" w:lineRule="auto" w:after="120"/>
      </w:pPr>
      <w:r>
        <w:t xml:space="preserve">Declarations</w:t>
      </w:r>
    </w:p>
    <w:bookmarkStart w:id="45"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5"/>
    <w:bookmarkStart w:id="46"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6"/>
    <w:bookmarkStart w:id="47"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7"/>
    <w:bookmarkStart w:id="48"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organized in a local reproducibility package and will be made publicly available before formal journal upload at</w:t>
      </w:r>
      <w:r>
        <w:t xml:space="preserve"> </w:t>
      </w:r>
      <w:r>
        <w:rPr>
          <w:rStyle w:val="VerbatimChar"/>
        </w:rPr>
        <w:t xml:space="preserve">https://github.com/1627626277-cyber/secondary</w:t>
      </w:r>
      <w:r>
        <w:t xml:space="preserve">.</w:t>
      </w:r>
    </w:p>
    <w:bookmarkEnd w:id="48"/>
    <w:bookmarkStart w:id="49"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49"/>
    <w:bookmarkStart w:id="50"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0"/>
    <w:bookmarkStart w:id="51" w:name="authors-contributions"/>
    <w:p>
      <w:pPr>
        <w:pStyle w:val="Heading3"/>
        <w:spacing w:line="480" w:lineRule="auto" w:after="120"/>
      </w:pPr>
      <w:r>
        <w:t xml:space="preserve">Authors’ contributions</w:t>
      </w:r>
    </w:p>
    <w:p>
      <w:pPr>
        <w:pStyle w:val="FirstParagraph"/>
        <w:spacing w:line="480" w:lineRule="auto" w:after="120"/>
      </w:pPr>
      <w:r>
        <w:t xml:space="preserve">Z.J. conceived the study, designed the analysis strategy, curated public datasets, interpreted the results, prepared the manuscript, and approved the submitted version. This statement should be revised if additional authors are added before submission.</w:t>
      </w:r>
    </w:p>
    <w:bookmarkEnd w:id="51"/>
    <w:bookmarkStart w:id="52"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2"/>
    <w:bookmarkEnd w:id="53"/>
    <w:bookmarkStart w:id="54"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bookmarkEnd w:id="54"/>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2026-05-01T00:36:57Z</dcterms:created>
  <dcterms:modified xsi:type="dcterms:W3CDTF">2026-05-01T00:36:57Z</dcterms:modified>
</cp:coreProperties>
</file>

<file path=docProps/custom.xml><?xml version="1.0" encoding="utf-8"?>
<Properties xmlns="http://schemas.openxmlformats.org/officeDocument/2006/custom-properties" xmlns:vt="http://schemas.openxmlformats.org/officeDocument/2006/docPropsVTypes"/>
</file>