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276" w:lineRule="auto" w:after="160"/>
      </w:pPr>
      <w:r>
        <w:t xml:space="preserve">Dear Editor,</w:t>
      </w:r>
    </w:p>
    <w:p>
      <w:pPr>
        <w:pStyle w:val="BodyText"/>
        <w:spacing w:line="276" w:lineRule="auto" w:after="160"/>
      </w:pPr>
      <w:r>
        <w:t xml:space="preserve">We are pleased to submit our manuscript entitled</w:t>
      </w:r>
      <w:r>
        <w:t xml:space="preserve"> </w:t>
      </w:r>
      <w:r>
        <w:t xml:space="preserve">“A spatially reproducible plasma-secretory bone marrow program linked to molecular risk in multiple myeloma”</w:t>
      </w:r>
      <w:r>
        <w:t xml:space="preserve"> </w:t>
      </w:r>
      <w:r>
        <w:t xml:space="preserve">for consideration in BMC Medical Genomics.</w:t>
      </w:r>
    </w:p>
    <w:p>
      <w:pPr>
        <w:pStyle w:val="BodyText"/>
        <w:spacing w:line="276" w:lineRule="auto" w:after="160"/>
      </w:pPr>
      <w:r>
        <w:t xml:space="preserve">This manuscript presents an integrative public-data analysis of multiple myeloma using spatial transcriptomics, Xenium spatial profiling, single-cell RNA sequencing, external bulk transcriptomic cohorts, MMRF-COMMPASS/GDC RNA-seq, and public CoMMpass molecular annotations. The study identifies a plasma-secretory bone marrow program that is enriched and spatially clustered in myeloma spatial transcriptomics, reproduced at program level in an independent Xenium dataset, localized to plasma-cell compartments in single-cell data, and associated with overall survival, ISS stage, PR RNA-subtype probability, proliferation context, and 1q21 molecular-risk features in bulk datasets.</w:t>
      </w:r>
    </w:p>
    <w:p>
      <w:pPr>
        <w:pStyle w:val="BodyText"/>
        <w:spacing w:line="276" w:lineRule="auto" w:after="160"/>
      </w:pPr>
      <w:r>
        <w:t xml:space="preserve">The work is framed as a spatially reproducible transcriptional program linked to molecular-risk context rather than as an independent clinical biomarker. The manuscript explicitly states that R-ISS, PFS, treatment-response validation, prospective clinical utility, and wet-lab validation were not completed in the current public-data route. We believe this transparent scope is well aligned with the journal’s interest in genomic and transcriptomic analyses of disease biology.</w:t>
      </w:r>
    </w:p>
    <w:p>
      <w:pPr>
        <w:pStyle w:val="BodyText"/>
        <w:spacing w:line="276" w:lineRule="auto" w:after="160"/>
      </w:pPr>
      <w:r>
        <w:t xml:space="preserve">All analyzed datasets are publicly available or open-access processed resources. The analysis scripts, compact result tables, figure outputs, and validation reports are organized locally and are intended to be released through https://github.com/1627626277-cyber/secondary before journal upload.</w:t>
      </w:r>
    </w:p>
    <w:p>
      <w:pPr>
        <w:pStyle w:val="BodyText"/>
        <w:spacing w:line="276" w:lineRule="auto" w:after="160"/>
      </w:pPr>
      <w:r>
        <w:t xml:space="preserve">This manuscript has not been published and is not under consideration elsewhere. The author confirms responsibility for the submitted work.</w:t>
      </w:r>
    </w:p>
    <w:p>
      <w:pPr>
        <w:pStyle w:val="BodyText"/>
        <w:spacing w:line="276" w:lineRule="auto" w:after="160"/>
      </w:pPr>
      <w:r>
        <w:t xml:space="preserve">Sincerely,</w:t>
      </w:r>
    </w:p>
    <w:p>
      <w:pPr>
        <w:pStyle w:val="BodyText"/>
        <w:spacing w:line="276" w:lineRule="auto" w:after="160"/>
      </w:pPr>
      <w:r>
        <w:t xml:space="preserve">[Corresponding author to be finalized before submission]</w:t>
      </w:r>
    </w:p>
    <w:p>
      <w:pPr>
        <w:pStyle w:val="BodyText"/>
        <w:spacing w:line="276" w:lineRule="auto" w:after="160"/>
      </w:pPr>
      <w:r>
        <w:t xml:space="preserve">Guangdong University of Petrochemical Technology (GDUPT)</w:t>
      </w:r>
    </w:p>
    <w:p>
      <w:pPr>
        <w:pStyle w:val="BodyText"/>
        <w:spacing w:line="276" w:lineRule="auto" w:after="160"/>
      </w:pPr>
      <w:r>
        <w:t xml:space="preserve">[corresponding author email to be finalized before submission]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2026-05-01T04:41:56Z</dcterms:created>
  <dcterms:modified xsi:type="dcterms:W3CDTF">2026-05-01T04:41:56Z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