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3f580bcd0b030b1a38092b24ab26212d28b18e"/>
    <w:p>
      <w:pPr>
        <w:pStyle w:val="Heading1"/>
        <w:spacing w:line="276" w:lineRule="auto" w:after="120"/>
      </w:pPr>
      <w:r>
        <w:rPr>
          <w:rFonts w:ascii="Arial" w:hAnsi="Arial"/>
        </w:rPr>
        <w:t xml:space="preserve">Supplementary Methods And Reproducibility Appendix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Manuscript title: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A spatially reproducible plasma-secretory bone marrow program linked to molecular risk in multiple myeloma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Target journal: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BMC Medical Genomics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Date: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2026-05-01</w:t>
      </w:r>
    </w:p>
    <w:bookmarkStart w:id="9" w:name="scope"/>
    <w:p>
      <w:pPr>
        <w:pStyle w:val="Heading2"/>
        <w:spacing w:line="276" w:lineRule="auto" w:after="120"/>
      </w:pPr>
      <w:r>
        <w:rPr>
          <w:rFonts w:ascii="Arial" w:hAnsi="Arial"/>
        </w:rPr>
        <w:t xml:space="preserve">Scope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This appendix documents the public data inputs, analysis scripts, score construction rules, complete-case handling, and figure-output traceability used for the manuscript.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The appendix is designed to support reproducibility. It does not add new claims beyond the main manuscript.</w:t>
      </w:r>
    </w:p>
    <w:bookmarkEnd w:id="9"/>
    <w:bookmarkStart w:id="10" w:name="data-resources"/>
    <w:p>
      <w:pPr>
        <w:pStyle w:val="Heading2"/>
        <w:spacing w:line="276" w:lineRule="auto" w:after="120"/>
      </w:pPr>
      <w:r>
        <w:rPr>
          <w:rFonts w:ascii="Arial" w:hAnsi="Arial"/>
        </w:rPr>
        <w:t xml:space="preserve">Data Resources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Resource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Role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Data type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Main inclusion rule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Main output directory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GSE269875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Spatial discovery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Human bone marrow spatial transcriptomics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Processed human spatial matrices passing sample-level QC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analysis/spatial_candidate_signatures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GSE299193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Second spatial reproducibility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Human bone marrow Xenium spatial transcriptomics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Cell-feature matrices from Ctrl, MGUS, SM, MM, and RM samples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analysis/gse299193_xenium_validation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GSE271107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Single-cell localization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Single-cell RNA-seq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Public single-cell expression data summarized by marker-inferred categories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analysis/scrna_gse271107_validation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GSE2658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External bulk support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Bulk expression microarray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Samples with expression and available FISH 1q21 annotation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analysis/plasma_secretory_subtype_refinement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GSE24080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External bulk support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Bulk expression microarray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Samples with expression and available milestone OS annotation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analysis/bulk_clinical_validation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MMRF-COMMPASS/GDC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Retrospective clinical association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Baseline CD138+ RNA-seq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Baseline visit-1 bone marrow CD138+ samples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analysis/commppass_gdc_validation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Skerget NG2024 public CoMMpass supplements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Molecular annotation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Public CoMMpass molecular annotation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Patient identifiers matched to local CoMMpass/GDC sample scores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analysis/skerget_ng2024_public_supplement</w:t>
            </w:r>
          </w:p>
        </w:tc>
      </w:tr>
    </w:tbl>
    <w:bookmarkEnd w:id="10"/>
    <w:bookmarkStart w:id="11" w:name="script-order"/>
    <w:p>
      <w:pPr>
        <w:pStyle w:val="Heading2"/>
        <w:spacing w:line="276" w:lineRule="auto" w:after="120"/>
      </w:pPr>
      <w:r>
        <w:rPr>
          <w:rFonts w:ascii="Arial" w:hAnsi="Arial"/>
        </w:rPr>
        <w:t xml:space="preserve">Script Order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Step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Script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Purpose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scripts/08_processed_spatial_matrix_qc.py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Check processed spatial matrices and sample-level QC fields.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scripts/09_preliminary_spatial_clustering.py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Generate preliminary spatial clustering and marker summaries.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scripts/10_sample_aware_spatial_signatures.py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Build sample-aware spatial program scores and candidate rankings.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scripts/11_gse271107_scrna_validation.py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Validate candidate localization in single-cell data.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scripts/12_bulk_clinical_validation.py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 external bulk expression cohorts and test available endpoints.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scripts/13_plasma_secretory_subtype_refinement.py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Refine the POU2AF1/XBP1/JCHAIN clinical subtype module.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7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scripts/14_commppass_gdc_validation.py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Build CoMMpass/GDC baseline CD138+ RNA-seq validation tables.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scripts/18_gse299193_xenium_validation.py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Validate the program-level spatial signal in GSE299193 Xenium data.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9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scripts/19_skerget_ng2024_public_supplement_audit.py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Audit and inventory NG2024 public CoMMpass supplementary files.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scripts/20_skerget_ng2024_molecular_annotation_validation.py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Join NG2024 annotations to local CoMMpass scores and test molecular-risk associations.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11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scripts/21_commppass_ng2024_adjusted_models.py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Fit adjusted OS, subtype, and molecular-risk models.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12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scripts/22_commppass_cox_ph_assumption_check.py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Screen Cox proportional hazards assumptions with Schoenfeld residuals.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13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scripts/28_spatial_autocorrelation_niche_analysis.py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Quantify spot-level Moran’s I and local neighbor enrichment in GSE269875.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14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scripts/29_commppass_sensitivity_models.py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Fit CoMMpass OS and 1q21 sensitivity models with PR, proliferation, cytogenetic, and purity/tumor-burden covariates.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15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scripts/30_module_coverage_and_testing_inventory.py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Generate module-gene coverage and all-tested-association inventory tables.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scripts/31_build_review_hardening_figure.py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Build Fig. 7 from the spatial organization and CoMMpass sensitivity outputs.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17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Generate Fig. 1-6 and the cross-cohort evidence table.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  <w:jc w:val="right"/>
            </w:pPr>
            <w:r>
              <w:rPr>
                <w:rFonts w:ascii="Arial" w:hAnsi="Arial"/>
                <w:sz w:val="16"/>
              </w:rPr>
              <w:t xml:space="preserve">18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scripts/24_prepare_bmc_submission_package.py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Generate the editable manuscript DOCX and cover-letter DOCX.</w:t>
            </w:r>
          </w:p>
        </w:tc>
      </w:tr>
    </w:tbl>
    <w:bookmarkEnd w:id="11"/>
    <w:bookmarkStart w:id="12" w:name="score-construction"/>
    <w:p>
      <w:pPr>
        <w:pStyle w:val="Heading2"/>
        <w:spacing w:line="276" w:lineRule="auto" w:after="120"/>
      </w:pPr>
      <w:r>
        <w:rPr>
          <w:rFonts w:ascii="Arial" w:hAnsi="Arial"/>
        </w:rPr>
        <w:t xml:space="preserve">Score Construction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For each cohort, expression values were analyzed on the processed normalized scale available from the public resource, or after log transformation where count-like matrices were used.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For gene-level module scores: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Arial" w:hAnsi="Arial"/>
        </w:rPr>
        <w:t xml:space="preserve">Candidate genes were intersected with platform-available genes.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Arial" w:hAnsi="Arial"/>
        </w:rPr>
        <w:t xml:space="preserve">Available gene values were standardized within the cohort.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Arial" w:hAnsi="Arial"/>
        </w:rPr>
        <w:t xml:space="preserve">Module scores were calculated as the arithmetic mean of available standardized genes.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Arial" w:hAnsi="Arial"/>
        </w:rPr>
        <w:t xml:space="preserve">Missing genes were not imputed.</w:t>
      </w:r>
    </w:p>
    <w:p>
      <w:pPr>
        <w:pStyle w:val="Compact"/>
        <w:numPr>
          <w:ilvl w:val="0"/>
          <w:numId w:val="1001"/>
        </w:numPr>
        <w:spacing w:line="276" w:lineRule="auto" w:after="120"/>
      </w:pPr>
      <w:r>
        <w:rPr>
          <w:rFonts w:ascii="Arial" w:hAnsi="Arial"/>
        </w:rPr>
        <w:t xml:space="preserve">If no genes from a module were present, that module was not scored for that sample or platform.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Primary biological scores: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Genes or construct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Main use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Plasma-secretory score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Plasma-cell and secretory-pathway program genes available per platform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Main spatial, bulk, and CoMMpass axis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Clinical subtype module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POU2AF1, XBP1, JCHAIN where available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Clinical subtype and risk association support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Xenium panel-covered module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POU2AF1 and XBP1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GSE299193 panel-compatible reproducibility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TXNDC5 expression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TXNDC5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Spatial/single-cell localization candidate</w:t>
            </w:r>
          </w:p>
        </w:tc>
      </w:tr>
    </w:tbl>
    <w:bookmarkEnd w:id="12"/>
    <w:bookmarkStart w:id="19" w:name="dataset-specific-notes"/>
    <w:p>
      <w:pPr>
        <w:pStyle w:val="Heading2"/>
        <w:spacing w:line="276" w:lineRule="auto" w:after="120"/>
      </w:pPr>
      <w:r>
        <w:rPr>
          <w:rFonts w:ascii="Arial" w:hAnsi="Arial"/>
        </w:rPr>
        <w:t xml:space="preserve">Dataset-Specific Notes</w:t>
      </w:r>
    </w:p>
    <w:bookmarkStart w:id="13" w:name="gse269875"/>
    <w:p>
      <w:pPr>
        <w:pStyle w:val="Heading3"/>
        <w:spacing w:line="276" w:lineRule="auto" w:after="120"/>
      </w:pPr>
      <w:r>
        <w:rPr>
          <w:rFonts w:ascii="Arial" w:hAnsi="Arial"/>
        </w:rPr>
        <w:t xml:space="preserve">GSE269875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Processed human bone marrow spatial matrices were used for discovery. Curated marrow and immune programs included plasma-secretory, myeloid-inflammatory, T/NK cytotoxic, stromal, endothelial, erythroid, and cycling states. Scores were summarized at sample level before MM-control comparison.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Main statistics reported:</w:t>
      </w:r>
    </w:p>
    <w:p>
      <w:pPr>
        <w:pStyle w:val="Compact"/>
        <w:numPr>
          <w:ilvl w:val="0"/>
          <w:numId w:val="1002"/>
        </w:numPr>
        <w:spacing w:line="276" w:lineRule="auto" w:after="120"/>
      </w:pPr>
      <w:r>
        <w:rPr>
          <w:rFonts w:ascii="Arial" w:hAnsi="Arial"/>
        </w:rPr>
        <w:t xml:space="preserve">Median difference.</w:t>
      </w:r>
    </w:p>
    <w:p>
      <w:pPr>
        <w:pStyle w:val="Compact"/>
        <w:numPr>
          <w:ilvl w:val="0"/>
          <w:numId w:val="1002"/>
        </w:numPr>
        <w:spacing w:line="276" w:lineRule="auto" w:after="120"/>
      </w:pPr>
      <w:r>
        <w:rPr>
          <w:rFonts w:ascii="Arial" w:hAnsi="Arial"/>
        </w:rPr>
        <w:t xml:space="preserve">Cohen’s d.</w:t>
      </w:r>
    </w:p>
    <w:p>
      <w:pPr>
        <w:pStyle w:val="Compact"/>
        <w:numPr>
          <w:ilvl w:val="0"/>
          <w:numId w:val="1002"/>
        </w:numPr>
        <w:spacing w:line="276" w:lineRule="auto" w:after="120"/>
      </w:pPr>
      <w:r>
        <w:rPr>
          <w:rFonts w:ascii="Arial" w:hAnsi="Arial"/>
        </w:rPr>
        <w:t xml:space="preserve">Mann-Whitney p value.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Spatial organization add-on: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Moran’s I was calculated within each sample using 6-nearest-neighbor graph weights.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Permutation p values used 199 within-sample label permutations.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Plasma-secretory-high spots were defined as the within-sample top quartile.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Neighbor enrichment compared nearest-neighbor scores around plasma-secretory-high spots with neighbor scores around all other spots.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The focal spot was excluded from each nearest-neighbor set.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Primary neighbor summaries excluded plasma-cell marker scores and used non-overlapping niche programs to reduce circularity.</w:t>
      </w:r>
    </w:p>
    <w:p>
      <w:pPr>
        <w:pStyle w:val="Compact"/>
        <w:numPr>
          <w:ilvl w:val="0"/>
          <w:numId w:val="1003"/>
        </w:numPr>
        <w:spacing w:line="276" w:lineRule="auto" w:after="120"/>
      </w:pPr>
      <w:r>
        <w:rPr>
          <w:rFonts w:ascii="Arial" w:hAnsi="Arial"/>
        </w:rPr>
        <w:t xml:space="preserve">MM samples had higher Moran’s I than controls in this small cohort (median 0.571 versus 0.144; Mann-Whitney p=0.0238), but control marrow also showed non-zero autocorrelation.</w:t>
      </w:r>
    </w:p>
    <w:bookmarkEnd w:id="13"/>
    <w:bookmarkStart w:id="14" w:name="gse299193"/>
    <w:p>
      <w:pPr>
        <w:pStyle w:val="Heading3"/>
        <w:spacing w:line="276" w:lineRule="auto" w:after="120"/>
      </w:pPr>
      <w:r>
        <w:rPr>
          <w:rFonts w:ascii="Arial" w:hAnsi="Arial"/>
        </w:rPr>
        <w:t xml:space="preserve">GSE299193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The raw Xenium archive was not fully extracted. The reproducibility script extracted only cell-feature matrices and lightweight metadata needed for gene-panel scoring. This avoided unnecessary expansion of imaging and transcript-position files.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Disease grouping: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rFonts w:ascii="Arial" w:hAnsi="Arial"/>
        </w:rPr>
        <w:t xml:space="preserve">Active disease: MM and relapsed MM.</w:t>
      </w:r>
    </w:p>
    <w:p>
      <w:pPr>
        <w:pStyle w:val="Compact"/>
        <w:numPr>
          <w:ilvl w:val="0"/>
          <w:numId w:val="1004"/>
        </w:numPr>
        <w:spacing w:line="276" w:lineRule="auto" w:after="120"/>
      </w:pPr>
      <w:r>
        <w:rPr>
          <w:rFonts w:ascii="Arial" w:hAnsi="Arial"/>
        </w:rPr>
        <w:t xml:space="preserve">Non-active comparison: Ctrl, MGUS, and SM.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Interpretation boundary:</w:t>
      </w:r>
    </w:p>
    <w:p>
      <w:pPr>
        <w:pStyle w:val="Compact"/>
        <w:numPr>
          <w:ilvl w:val="0"/>
          <w:numId w:val="1005"/>
        </w:numPr>
        <w:spacing w:line="276" w:lineRule="auto" w:after="120"/>
      </w:pPr>
      <w:r>
        <w:rPr>
          <w:rFonts w:ascii="Arial" w:hAnsi="Arial"/>
        </w:rPr>
        <w:t xml:space="preserve">GSE299193 supports program-level spatial reproducibility.</w:t>
      </w:r>
    </w:p>
    <w:p>
      <w:pPr>
        <w:pStyle w:val="Compact"/>
        <w:numPr>
          <w:ilvl w:val="0"/>
          <w:numId w:val="1005"/>
        </w:numPr>
        <w:spacing w:line="276" w:lineRule="auto" w:after="120"/>
      </w:pPr>
      <w:r>
        <w:rPr>
          <w:rFonts w:ascii="Arial" w:hAnsi="Arial"/>
        </w:rPr>
        <w:t xml:space="preserve">It does not directly validate TXNDC5, JCHAIN, or SDC1 because these genes were absent from the extracted Xenium matrices.</w:t>
      </w:r>
    </w:p>
    <w:bookmarkEnd w:id="14"/>
    <w:bookmarkStart w:id="15" w:name="gse271107"/>
    <w:p>
      <w:pPr>
        <w:pStyle w:val="Heading3"/>
        <w:spacing w:line="276" w:lineRule="auto" w:after="120"/>
      </w:pPr>
      <w:r>
        <w:rPr>
          <w:rFonts w:ascii="Arial" w:hAnsi="Arial"/>
        </w:rPr>
        <w:t xml:space="preserve">GSE271107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Single-cell RNA-seq data were filtered using minimum 200 detected genes, minimum 500 total counts, and maximum 25% mitochondrial reads. The analysis retained 127,528 post-QC cells from 19 samples. Cells were summarized by marker-inferred cell categories. The primary endpoint was whether candidate genes and module scores localized to plasma-cell compartments. Detection fraction was calculated as the fraction of observations with expression above zero. TXNDC5 detection was summarized across 8,007 marker-inferred plasma cells from 19 sample-level plasma-cell strata: HD 1,463 cells, MGUS 1,016 cells, SMM 649 cells, and MM 4,879 cells. The cell-weighted detection fraction was 96.44%; the unweighted mean across plasma-cell sample strata was 94.86%.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Interpretation boundary:</w:t>
      </w:r>
    </w:p>
    <w:p>
      <w:pPr>
        <w:pStyle w:val="Compact"/>
        <w:numPr>
          <w:ilvl w:val="0"/>
          <w:numId w:val="1006"/>
        </w:numPr>
        <w:spacing w:line="276" w:lineRule="auto" w:after="120"/>
      </w:pPr>
      <w:r>
        <w:rPr>
          <w:rFonts w:ascii="Arial" w:hAnsi="Arial"/>
        </w:rPr>
        <w:t xml:space="preserve">This supports localization.</w:t>
      </w:r>
    </w:p>
    <w:p>
      <w:pPr>
        <w:pStyle w:val="Compact"/>
        <w:numPr>
          <w:ilvl w:val="0"/>
          <w:numId w:val="1006"/>
        </w:numPr>
        <w:spacing w:line="276" w:lineRule="auto" w:after="120"/>
      </w:pPr>
      <w:r>
        <w:rPr>
          <w:rFonts w:ascii="Arial" w:hAnsi="Arial"/>
        </w:rPr>
        <w:t xml:space="preserve">It does not establish TXNDC5 as a standalone prognostic biomarker.</w:t>
      </w:r>
    </w:p>
    <w:p>
      <w:pPr>
        <w:pStyle w:val="Compact"/>
        <w:numPr>
          <w:ilvl w:val="0"/>
          <w:numId w:val="1006"/>
        </w:numPr>
        <w:spacing w:line="276" w:lineRule="auto" w:after="120"/>
      </w:pPr>
      <w:r>
        <w:rPr>
          <w:rFonts w:ascii="Arial" w:hAnsi="Arial"/>
        </w:rPr>
        <w:t xml:space="preserve">It does not establish malignant-plasma-cell-specific localization because malignant and normal plasma cells were not separated.</w:t>
      </w:r>
    </w:p>
    <w:bookmarkEnd w:id="15"/>
    <w:bookmarkStart w:id="16" w:name="gse2658-and-gse24080"/>
    <w:p>
      <w:pPr>
        <w:pStyle w:val="Heading3"/>
        <w:spacing w:line="276" w:lineRule="auto" w:after="120"/>
      </w:pPr>
      <w:r>
        <w:rPr>
          <w:rFonts w:ascii="Arial" w:hAnsi="Arial"/>
        </w:rPr>
        <w:t xml:space="preserve">GSE2658 And GSE24080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External GEO bulk cohorts were used to test whether the spatially discovered axis related to available clinical or cytogenetic annotations outside the spatial datasets.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Endpoints:</w:t>
      </w:r>
    </w:p>
    <w:p>
      <w:pPr>
        <w:pStyle w:val="Compact"/>
        <w:numPr>
          <w:ilvl w:val="0"/>
          <w:numId w:val="1007"/>
        </w:numPr>
        <w:spacing w:line="276" w:lineRule="auto" w:after="120"/>
      </w:pPr>
      <w:r>
        <w:rPr>
          <w:rFonts w:ascii="Arial" w:hAnsi="Arial"/>
        </w:rPr>
        <w:t xml:space="preserve">GSE2658: FISH 1q21 amplification.</w:t>
      </w:r>
    </w:p>
    <w:p>
      <w:pPr>
        <w:pStyle w:val="Compact"/>
        <w:numPr>
          <w:ilvl w:val="0"/>
          <w:numId w:val="1007"/>
        </w:numPr>
        <w:spacing w:line="276" w:lineRule="auto" w:after="120"/>
      </w:pPr>
      <w:r>
        <w:rPr>
          <w:rFonts w:ascii="Arial" w:hAnsi="Arial"/>
        </w:rPr>
        <w:t xml:space="preserve">GSE24080: 24-month overall survival death.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Interpretation boundary:</w:t>
      </w:r>
    </w:p>
    <w:p>
      <w:pPr>
        <w:pStyle w:val="Compact"/>
        <w:numPr>
          <w:ilvl w:val="0"/>
          <w:numId w:val="1008"/>
        </w:numPr>
        <w:spacing w:line="276" w:lineRule="auto" w:after="120"/>
      </w:pPr>
      <w:r>
        <w:rPr>
          <w:rFonts w:ascii="Arial" w:hAnsi="Arial"/>
        </w:rPr>
        <w:t xml:space="preserve">These data support external association.</w:t>
      </w:r>
    </w:p>
    <w:p>
      <w:pPr>
        <w:pStyle w:val="Compact"/>
        <w:numPr>
          <w:ilvl w:val="0"/>
          <w:numId w:val="1008"/>
        </w:numPr>
        <w:spacing w:line="276" w:lineRule="auto" w:after="120"/>
      </w:pPr>
      <w:r>
        <w:rPr>
          <w:rFonts w:ascii="Arial" w:hAnsi="Arial"/>
        </w:rPr>
        <w:t xml:space="preserve">They do not establish uniform directional replication across all platforms.</w:t>
      </w:r>
    </w:p>
    <w:bookmarkEnd w:id="16"/>
    <w:bookmarkStart w:id="17" w:name="commpassgdc"/>
    <w:p>
      <w:pPr>
        <w:pStyle w:val="Heading3"/>
        <w:spacing w:line="276" w:lineRule="auto" w:after="120"/>
      </w:pPr>
      <w:r>
        <w:rPr>
          <w:rFonts w:ascii="Arial" w:hAnsi="Arial"/>
        </w:rPr>
        <w:t xml:space="preserve">CoMMpass/GDC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MMRF-COMMPASS/GDC RNA-seq files were filtered to baseline visit-1 bone marrow CD138+ samples. The final association table contained 762 baseline samples. Gene-level TPM values were log-transformed and z-scored before module scoring.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Endpoints:</w:t>
      </w:r>
    </w:p>
    <w:p>
      <w:pPr>
        <w:pStyle w:val="Compact"/>
        <w:numPr>
          <w:ilvl w:val="0"/>
          <w:numId w:val="1009"/>
        </w:numPr>
        <w:spacing w:line="276" w:lineRule="auto" w:after="120"/>
      </w:pPr>
      <w:r>
        <w:rPr>
          <w:rFonts w:ascii="Arial" w:hAnsi="Arial"/>
        </w:rPr>
        <w:t xml:space="preserve">Overall survival event.</w:t>
      </w:r>
    </w:p>
    <w:p>
      <w:pPr>
        <w:pStyle w:val="Compact"/>
        <w:numPr>
          <w:ilvl w:val="0"/>
          <w:numId w:val="1009"/>
        </w:numPr>
        <w:spacing w:line="276" w:lineRule="auto" w:after="120"/>
      </w:pPr>
      <w:r>
        <w:rPr>
          <w:rFonts w:ascii="Arial" w:hAnsi="Arial"/>
        </w:rPr>
        <w:t xml:space="preserve">ISS ordinal stage.</w:t>
      </w:r>
    </w:p>
    <w:p>
      <w:pPr>
        <w:pStyle w:val="Compact"/>
        <w:numPr>
          <w:ilvl w:val="0"/>
          <w:numId w:val="1009"/>
        </w:numPr>
        <w:spacing w:line="276" w:lineRule="auto" w:after="120"/>
      </w:pPr>
      <w:r>
        <w:rPr>
          <w:rFonts w:ascii="Arial" w:hAnsi="Arial"/>
        </w:rPr>
        <w:t xml:space="preserve">Median-split overall survival.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Interpretation boundary:</w:t>
      </w:r>
    </w:p>
    <w:p>
      <w:pPr>
        <w:pStyle w:val="Compact"/>
        <w:numPr>
          <w:ilvl w:val="0"/>
          <w:numId w:val="1010"/>
        </w:numPr>
        <w:spacing w:line="276" w:lineRule="auto" w:after="120"/>
      </w:pPr>
      <w:r>
        <w:rPr>
          <w:rFonts w:ascii="Arial" w:hAnsi="Arial"/>
        </w:rPr>
        <w:t xml:space="preserve">These analyses support retrospective clinical association.</w:t>
      </w:r>
    </w:p>
    <w:p>
      <w:pPr>
        <w:pStyle w:val="Compact"/>
        <w:numPr>
          <w:ilvl w:val="0"/>
          <w:numId w:val="1010"/>
        </w:numPr>
        <w:spacing w:line="276" w:lineRule="auto" w:after="120"/>
      </w:pPr>
      <w:r>
        <w:rPr>
          <w:rFonts w:ascii="Arial" w:hAnsi="Arial"/>
        </w:rPr>
        <w:t xml:space="preserve">They do not complete R-ISS, PFS, or treatment-response validation.</w:t>
      </w:r>
    </w:p>
    <w:bookmarkEnd w:id="17"/>
    <w:bookmarkStart w:id="18" w:name="ng2024-public-commpass-annotation"/>
    <w:p>
      <w:pPr>
        <w:pStyle w:val="Heading3"/>
        <w:spacing w:line="276" w:lineRule="auto" w:after="120"/>
      </w:pPr>
      <w:r>
        <w:rPr>
          <w:rFonts w:ascii="Arial" w:hAnsi="Arial"/>
        </w:rPr>
        <w:t xml:space="preserve">NG2024 Public CoMMpass Annotation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Public Skerget et al. NG2024 supplementary tables were joined to local CoMMpass/GDC scores by patient identifier. The public patient-feature table matched all 762 local baseline samples. RNA-subtype probability analyses used complete cases; the PR subtype analysis contained 707 complete samples.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Molecular annotations tested:</w:t>
      </w:r>
    </w:p>
    <w:p>
      <w:pPr>
        <w:pStyle w:val="Compact"/>
        <w:numPr>
          <w:ilvl w:val="0"/>
          <w:numId w:val="1011"/>
        </w:numPr>
        <w:spacing w:line="276" w:lineRule="auto" w:after="120"/>
      </w:pPr>
      <w:r>
        <w:rPr>
          <w:rFonts w:ascii="Arial" w:hAnsi="Arial"/>
        </w:rPr>
        <w:t xml:space="preserve">PR RNA-subtype probability.</w:t>
      </w:r>
    </w:p>
    <w:p>
      <w:pPr>
        <w:pStyle w:val="Compact"/>
        <w:numPr>
          <w:ilvl w:val="0"/>
          <w:numId w:val="1011"/>
        </w:numPr>
        <w:spacing w:line="276" w:lineRule="auto" w:after="120"/>
      </w:pPr>
      <w:r>
        <w:rPr>
          <w:rFonts w:ascii="Arial" w:hAnsi="Arial"/>
        </w:rPr>
        <w:t xml:space="preserve">1q21 gain or amplification.</w:t>
      </w:r>
    </w:p>
    <w:p>
      <w:pPr>
        <w:pStyle w:val="Compact"/>
        <w:numPr>
          <w:ilvl w:val="0"/>
          <w:numId w:val="1011"/>
        </w:numPr>
        <w:spacing w:line="276" w:lineRule="auto" w:after="120"/>
      </w:pPr>
      <w:r>
        <w:rPr>
          <w:rFonts w:ascii="Arial" w:hAnsi="Arial"/>
        </w:rPr>
        <w:t xml:space="preserve">17p13 deletion.</w:t>
      </w:r>
    </w:p>
    <w:p>
      <w:pPr>
        <w:pStyle w:val="Compact"/>
        <w:numPr>
          <w:ilvl w:val="0"/>
          <w:numId w:val="1011"/>
        </w:numPr>
        <w:spacing w:line="276" w:lineRule="auto" w:after="120"/>
      </w:pPr>
      <w:r>
        <w:rPr>
          <w:rFonts w:ascii="Arial" w:hAnsi="Arial"/>
        </w:rPr>
        <w:t xml:space="preserve">RNA-subtype categories.</w:t>
      </w:r>
    </w:p>
    <w:p>
      <w:pPr>
        <w:pStyle w:val="Compact"/>
        <w:numPr>
          <w:ilvl w:val="0"/>
          <w:numId w:val="1011"/>
        </w:numPr>
        <w:spacing w:line="276" w:lineRule="auto" w:after="120"/>
      </w:pPr>
      <w:r>
        <w:rPr>
          <w:rFonts w:ascii="Arial" w:hAnsi="Arial"/>
        </w:rPr>
        <w:t xml:space="preserve">Cytogenetic high-risk annotations available in the public supplement.</w:t>
      </w:r>
    </w:p>
    <w:bookmarkEnd w:id="18"/>
    <w:bookmarkEnd w:id="19"/>
    <w:bookmarkStart w:id="20" w:name="complete-case-rules"/>
    <w:p>
      <w:pPr>
        <w:pStyle w:val="Heading2"/>
        <w:spacing w:line="276" w:lineRule="auto" w:after="120"/>
      </w:pPr>
      <w:r>
        <w:rPr>
          <w:rFonts w:ascii="Arial" w:hAnsi="Arial"/>
        </w:rPr>
        <w:t xml:space="preserve">Complete-Case Rules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Complete-case analysis was performed separately for each endpoint.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Examples: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Analysis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Required fields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OS event association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Score, OS event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ISS association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Score, ISS stage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Median-split OS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Score, OS time, OS event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Adjusted Cox model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Score, age, sex, ISS stage, 1q21 status, OS time, OS event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PR subtype probability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Score, PR probability, age, sex, ISS stage where adjusted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1q21 logistic model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Score, 1q21 status, age, sex, ISS stage</w:t>
            </w:r>
          </w:p>
        </w:tc>
      </w:tr>
    </w:tbl>
    <w:p>
      <w:pPr>
        <w:pStyle w:val="BodyText"/>
        <w:spacing w:line="276" w:lineRule="auto" w:after="120"/>
      </w:pPr>
      <w:r>
        <w:rPr>
          <w:rFonts w:ascii="Arial" w:hAnsi="Arial"/>
        </w:rPr>
        <w:t xml:space="preserve">Sample numbers therefore differ between endpoint families. The manuscript reports denominators when they are central to interpretation.</w:t>
      </w:r>
    </w:p>
    <w:bookmarkEnd w:id="20"/>
    <w:bookmarkStart w:id="21" w:name="multiple-testing"/>
    <w:p>
      <w:pPr>
        <w:pStyle w:val="Heading2"/>
        <w:spacing w:line="276" w:lineRule="auto" w:after="120"/>
      </w:pPr>
      <w:r>
        <w:rPr>
          <w:rFonts w:ascii="Arial" w:hAnsi="Arial"/>
        </w:rPr>
        <w:t xml:space="preserve">Multiple Testing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Benjamini-Hochberg FDR correction was applied within analysis families rather than across all analyses in the project.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Analysis families: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Spatial discovery program comparisons.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Spatial organization and neighbor-enrichment analyses.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GSE299193 Xenium program and panel-covered gene comparisons.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Single-cell localization summaries.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External GEO bulk associations.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CoMMpass/GDC clinical associations.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NG2024 molecular annotation associations.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Adjusted CoMMpass/NG2024 model families.</w:t>
      </w:r>
    </w:p>
    <w:p>
      <w:pPr>
        <w:pStyle w:val="Compact"/>
        <w:numPr>
          <w:ilvl w:val="0"/>
          <w:numId w:val="1012"/>
        </w:numPr>
        <w:spacing w:line="276" w:lineRule="auto" w:after="120"/>
      </w:pPr>
      <w:r>
        <w:rPr>
          <w:rFonts w:ascii="Arial" w:hAnsi="Arial"/>
        </w:rPr>
        <w:t xml:space="preserve">Cox PH diagnostic screen.</w:t>
      </w:r>
    </w:p>
    <w:bookmarkEnd w:id="21"/>
    <w:bookmarkStart w:id="22" w:name="cox-proportional-hazards-diagnostic"/>
    <w:p>
      <w:pPr>
        <w:pStyle w:val="Heading2"/>
        <w:spacing w:line="276" w:lineRule="auto" w:after="120"/>
      </w:pPr>
      <w:r>
        <w:rPr>
          <w:rFonts w:ascii="Arial" w:hAnsi="Arial"/>
        </w:rPr>
        <w:t xml:space="preserve">Cox Proportional Hazards Diagnostic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The primary adjusted Cox model included age, sex, ISS stage, and 1q21 status. Schoenfeld residual correlations with log event time were used as a diagnostic screen.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Primary score terms:</w:t>
      </w:r>
    </w:p>
    <w:p>
      <w:pPr>
        <w:pStyle w:val="Compact"/>
        <w:numPr>
          <w:ilvl w:val="0"/>
          <w:numId w:val="1013"/>
        </w:numPr>
        <w:spacing w:line="276" w:lineRule="auto" w:after="120"/>
      </w:pPr>
      <w:r>
        <w:rPr>
          <w:rFonts w:ascii="Arial" w:hAnsi="Arial"/>
        </w:rPr>
        <w:t xml:space="preserve">Plasma-secretory score: rho=-0.0637, p=0.475, FDR=0.778.</w:t>
      </w:r>
    </w:p>
    <w:p>
      <w:pPr>
        <w:pStyle w:val="Compact"/>
        <w:numPr>
          <w:ilvl w:val="0"/>
          <w:numId w:val="1013"/>
        </w:numPr>
        <w:spacing w:line="276" w:lineRule="auto" w:after="120"/>
      </w:pPr>
      <w:r>
        <w:rPr>
          <w:rFonts w:ascii="Arial" w:hAnsi="Arial"/>
        </w:rPr>
        <w:t xml:space="preserve">POU2AF1/XBP1/JCHAIN module: rho=-0.0585, p=0.512, FDR=0.789.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The 1q21 covariate showed time-related residual structure in adjusted models. Therefore, Cox results are reported as retrospective adjusted association models, not prospective risk-prediction models.</w:t>
      </w:r>
    </w:p>
    <w:bookmarkEnd w:id="22"/>
    <w:bookmarkStart w:id="23" w:name="X0621a4d37daeb8c78cf49ef59948d1ef793e05f"/>
    <w:p>
      <w:pPr>
        <w:pStyle w:val="Heading2"/>
        <w:spacing w:line="276" w:lineRule="auto" w:after="120"/>
      </w:pPr>
      <w:r>
        <w:rPr>
          <w:rFonts w:ascii="Arial" w:hAnsi="Arial"/>
        </w:rPr>
        <w:t xml:space="preserve">Sensitivity Models And Platform-Coverage Tables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CoMMpass sensitivity models tested whether the plasma-secretory OS association persisted beyond known molecular-risk context. The basic model adjusted for age, sex, ISS, and 1q21. Additional models added PR subtype probability, proliferation score, del17p and high-risk cytogenetics, low-purity probability, and CMMC tumor-burden proxy where available.</w:t>
      </w:r>
    </w:p>
    <w:p>
      <w:pPr>
        <w:pStyle w:val="BodyText"/>
        <w:spacing w:line="276" w:lineRule="auto" w:after="120"/>
      </w:pPr>
      <w:r>
        <w:rPr>
          <w:rFonts w:ascii="Arial" w:hAnsi="Arial"/>
        </w:rPr>
        <w:t xml:space="preserve">Main interpretation:</w:t>
      </w:r>
    </w:p>
    <w:p>
      <w:pPr>
        <w:pStyle w:val="Compact"/>
        <w:numPr>
          <w:ilvl w:val="0"/>
          <w:numId w:val="1014"/>
        </w:numPr>
        <w:spacing w:line="276" w:lineRule="auto" w:after="120"/>
      </w:pPr>
      <w:r>
        <w:rPr>
          <w:rFonts w:ascii="Arial" w:hAnsi="Arial"/>
        </w:rPr>
        <w:t xml:space="preserve">The basic model showed an OS association for the plasma-secretory score.</w:t>
      </w:r>
    </w:p>
    <w:p>
      <w:pPr>
        <w:pStyle w:val="Compact"/>
        <w:numPr>
          <w:ilvl w:val="0"/>
          <w:numId w:val="1014"/>
        </w:numPr>
        <w:spacing w:line="276" w:lineRule="auto" w:after="120"/>
      </w:pPr>
      <w:r>
        <w:rPr>
          <w:rFonts w:ascii="Arial" w:hAnsi="Arial"/>
        </w:rPr>
        <w:t xml:space="preserve">The association was attenuated after adding PR subtype probability and proliferation score.</w:t>
      </w:r>
    </w:p>
    <w:p>
      <w:pPr>
        <w:pStyle w:val="Compact"/>
        <w:numPr>
          <w:ilvl w:val="0"/>
          <w:numId w:val="1014"/>
        </w:numPr>
        <w:spacing w:line="276" w:lineRule="auto" w:after="120"/>
      </w:pPr>
      <w:r>
        <w:rPr>
          <w:rFonts w:ascii="Arial" w:hAnsi="Arial"/>
        </w:rPr>
        <w:t xml:space="preserve">Low-purity probability and CMMC are public annotation proxies and do not replace direct tumor-purity measurement.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Formal supplementary tables are provided for submission: Supplementary Table S1, cohort-by-module gene coverage; Supplementary Table S2, all tested associations; and Supplementary Table S3, Cox sensitivity models.</w:t>
      </w:r>
    </w:p>
    <w:bookmarkEnd w:id="23"/>
    <w:bookmarkStart w:id="24" w:name="figure-traceability"/>
    <w:p>
      <w:pPr>
        <w:pStyle w:val="Heading2"/>
        <w:spacing w:line="276" w:lineRule="auto" w:after="120"/>
      </w:pPr>
      <w:r>
        <w:rPr>
          <w:rFonts w:ascii="Arial" w:hAnsi="Arial"/>
        </w:rPr>
        <w:t xml:space="preserve">Figure Traceability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Figure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Primary script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Primary output files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1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analysis/manuscript_figures/fig1_study_design_evidence_chain.*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2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scripts/10_sample_aware_spatial_signatures.py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analysis/manuscript_figures/fig2_spatial_plasma_secretory_discovery.*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3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scripts/28_spatial_autocorrelation_niche_analysis.py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scripts/31_build_review_hardening_figure.py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analysis/manuscript_figures/fig3_spatial_organization.*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4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scripts/18_gse299193_xenium_validation.py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analysis/manuscript_figures/fig4_gse299193_xenium_spatial_reproducibility.*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5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scripts/11_gse271107_scrna_validation.py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analysis/manuscript_figures/fig5_scrna_plasma_secretory_localization.*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6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scripts/12_bulk_clinical_validation.py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scripts/13_plasma_secretory_subtype_refinement.py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analysis/manuscript_figures/fig6_external_bulk_clinical_support.*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7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scripts/14_commppass_gdc_validation.py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scripts/20_skerget_ng2024_molecular_annotation_validation.py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scripts/21_commppass_ng2024_adjusted_models.py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scripts/15_build_manuscript_figures.py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analysis/manuscript_figures/fig7_commppass_ng2024_association.*</w:t>
            </w:r>
          </w:p>
        </w:tc>
      </w:tr>
      <w:tr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Fonts w:ascii="Arial" w:hAnsi="Arial"/>
                <w:sz w:val="16"/>
              </w:rPr>
              <w:t xml:space="preserve">Fig. 8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scripts/29_commppass_sensitivity_models.py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scripts/31_build_review_hardening_figure.py</w:t>
            </w:r>
          </w:p>
        </w:tc>
        <w:tc>
          <w:tcP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Compact"/>
              <w:spacing w:line="252" w:lineRule="auto" w:after="0"/>
            </w:pPr>
            <w:r>
              <w:rPr>
                <w:rStyle w:val="VerbatimChar"/>
                <w:rFonts w:ascii="Arial" w:hAnsi="Arial"/>
                <w:sz w:val="16"/>
              </w:rPr>
              <w:t xml:space="preserve">analysis/manuscript_figures/fig8_commppass_sensitivity_models.*</w:t>
            </w:r>
          </w:p>
        </w:tc>
      </w:tr>
    </w:tbl>
    <w:p>
      <w:pPr>
        <w:pStyle w:val="BodyText"/>
        <w:spacing w:line="276" w:lineRule="auto" w:after="120"/>
      </w:pPr>
      <w:r>
        <w:rPr>
          <w:rFonts w:ascii="Arial" w:hAnsi="Arial"/>
        </w:rPr>
        <w:t xml:space="preserve">Each figure is available as PNG, PDF, and SVG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analysis/manuscript_figures</w:t>
      </w:r>
      <w:r>
        <w:rPr>
          <w:rFonts w:ascii="Arial" w:hAnsi="Arial"/>
        </w:rPr>
        <w:t xml:space="preserve">.</w:t>
      </w:r>
    </w:p>
    <w:bookmarkEnd w:id="24"/>
    <w:bookmarkStart w:id="25" w:name="claim-boundaries"/>
    <w:p>
      <w:pPr>
        <w:pStyle w:val="Heading2"/>
        <w:spacing w:line="276" w:lineRule="auto" w:after="120"/>
      </w:pPr>
      <w:r>
        <w:rPr>
          <w:rFonts w:ascii="Arial" w:hAnsi="Arial"/>
        </w:rPr>
        <w:t xml:space="preserve">Claim Boundaries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The current manuscript supports: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Spatial discovery of a plasma-secretory bone marrow program.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Non-random spatial clustering and exploratory neighborhood association in GSE269875.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Independent program-level spatial reproducibility in GSE299193.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Plasma-cell localization in single-cell data.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External bulk support for a clinical subtype/risk axis.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Retrospective CoMMpass/GDC and NG2024 clinical/molecular associations.</w:t>
      </w:r>
    </w:p>
    <w:p>
      <w:pPr>
        <w:pStyle w:val="Compact"/>
        <w:numPr>
          <w:ilvl w:val="0"/>
          <w:numId w:val="1015"/>
        </w:numPr>
        <w:spacing w:line="276" w:lineRule="auto" w:after="120"/>
      </w:pPr>
      <w:r>
        <w:rPr>
          <w:rFonts w:ascii="Arial" w:hAnsi="Arial"/>
        </w:rPr>
        <w:t xml:space="preserve">Molecular-risk-context framing supported by sensitivity-model attenuation after PR/proliferation adjustment.</w:t>
      </w:r>
    </w:p>
    <w:p>
      <w:pPr>
        <w:pStyle w:val="FirstParagraph"/>
        <w:spacing w:line="276" w:lineRule="auto" w:after="120"/>
      </w:pPr>
      <w:r>
        <w:rPr>
          <w:rFonts w:ascii="Arial" w:hAnsi="Arial"/>
        </w:rPr>
        <w:t xml:space="preserve">The current manuscript does not claim: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A standalone clinical biomarker.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An independent prognostic biomarker.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A prospective classifier.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Treatment-selection utility.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Completed R-ISS validation.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Completed PFS validation.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Completed treatment-response validation.</w:t>
      </w:r>
    </w:p>
    <w:p>
      <w:pPr>
        <w:pStyle w:val="Compact"/>
        <w:numPr>
          <w:ilvl w:val="0"/>
          <w:numId w:val="1016"/>
        </w:numPr>
        <w:spacing w:line="276" w:lineRule="auto" w:after="120"/>
      </w:pPr>
      <w:r>
        <w:rPr>
          <w:rFonts w:ascii="Arial" w:hAnsi="Arial"/>
        </w:rPr>
        <w:t xml:space="preserve">Direct GSE299193 reproducibility of TXNDC5, JCHAIN, or SDC1.</w:t>
      </w:r>
    </w:p>
    <w:bookmarkEnd w:id="25"/>
    <w:bookmarkEnd w:id="26"/>
    <w:sectPr>
      <w:footnotePr>
        <w:numRestart w:val="eachSect"/>
      </w:footnotePr>
      <w:pgSz w:orient="landscape"/>
      <w:pgMar w:top="936" w:bottom="936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2026-05-01T04:23:18Z</dcterms:created>
  <dcterms:modified xsi:type="dcterms:W3CDTF">2026-05-01T04:23:18Z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