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22"/>
        </w:rPr>
        <w:t>Table 1. Cross-Cohort Evidence Chain And Manuscript Claim Boundary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1944"/>
            <w:vAlign w:val="center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Evidence layer</w:t>
            </w:r>
          </w:p>
        </w:tc>
        <w:tc>
          <w:tcPr>
            <w:tcW w:type="dxa" w:w="1007"/>
            <w:vAlign w:val="center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Figure</w:t>
            </w:r>
          </w:p>
        </w:tc>
        <w:tc>
          <w:tcPr>
            <w:tcW w:type="dxa" w:w="2808"/>
            <w:vAlign w:val="center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Cohort</w:t>
            </w:r>
          </w:p>
        </w:tc>
        <w:tc>
          <w:tcPr>
            <w:tcW w:type="dxa" w:w="5040"/>
            <w:vAlign w:val="center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Main result</w:t>
            </w:r>
          </w:p>
        </w:tc>
        <w:tc>
          <w:tcPr>
            <w:tcW w:type="dxa" w:w="3384"/>
            <w:vAlign w:val="center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Claim boundary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Study design</w:t>
            </w:r>
          </w:p>
        </w:tc>
        <w:tc>
          <w:tcPr>
            <w:tcW w:type="dxa" w:w="10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Fig. 1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Seven public/open data resources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Sequential spatial, single-cell, bulk, and molecular annotation workflow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Integrative public-data framework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Spatial discovery</w:t>
            </w:r>
          </w:p>
        </w:tc>
        <w:tc>
          <w:tcPr>
            <w:tcW w:type="dxa" w:w="10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Fig. 2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GSE269875, 9 spatial samples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MM-control plasma-secretory median difference 0.709; Cohen's d 3.129; p=0.0256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Discovery signal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Spatial organization</w:t>
            </w:r>
          </w:p>
        </w:tc>
        <w:tc>
          <w:tcPr>
            <w:tcW w:type="dxa" w:w="10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Fig. 3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GSE269875, spot-level spatial grids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Plasma-secretory Moran's I significant in 9 of 9 samples; median Moran's I 0.477; non-overlapping neighbor-program analysis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Exploratory spatial clustering and neighborhood support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Second spatial reproducibility</w:t>
            </w:r>
          </w:p>
        </w:tc>
        <w:tc>
          <w:tcPr>
            <w:tcW w:type="dxa" w:w="10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Fig. 4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GSE299193, 22 Xenium samples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Active MM/RM versus Ctrl/MGUS/SM median difference 0.766; FDR=0.000575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Program-level spatial reproducibility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Single-cell localization</w:t>
            </w:r>
          </w:p>
        </w:tc>
        <w:tc>
          <w:tcPr>
            <w:tcW w:type="dxa" w:w="10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Fig. 5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GSE271107, 127,528 post-QC cells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TXNDC5 detected in 96.44% of 8,007 marker-inferred plasma cells on a cell-weighted basis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Plasma-cell compartment localization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External bulk support</w:t>
            </w:r>
          </w:p>
        </w:tc>
        <w:tc>
          <w:tcPr>
            <w:tcW w:type="dxa" w:w="10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Fig. 6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GSE2658 and GSE24080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Clinical module associated with 1q21 amplification; XBP1 associated with 24-month OS death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Subtype/risk association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CoMMpass/GDC clinical association</w:t>
            </w:r>
          </w:p>
        </w:tc>
        <w:tc>
          <w:tcPr>
            <w:tcW w:type="dxa" w:w="10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Fig. 7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762 baseline CD138+ RNA-seq samples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Plasma-secretory score associated with OS event, ISS stage, and median-split OS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Retrospective clinical association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Public NG2024 annotation</w:t>
            </w:r>
          </w:p>
        </w:tc>
        <w:tc>
          <w:tcPr>
            <w:tcW w:type="dxa" w:w="10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Fig. 7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Public CoMMpass molecular annotations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Score associated with PR subtype probability and 1q21 gain/amplification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Molecular-risk context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Adjusted and sensitivity models</w:t>
            </w:r>
          </w:p>
        </w:tc>
        <w:tc>
          <w:tcPr>
            <w:tcW w:type="dxa" w:w="10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Fig. 8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660 basic complete cases; 613 PR/proliferation complete cases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Basic OS HR 1.460 after age, sex, ISS, and 1q21 adjustment; attenuated after PR/proliferation adjustment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Molecular-risk-context association, not independent biomarker evidence</w:t>
            </w:r>
          </w:p>
        </w:tc>
      </w:tr>
    </w:tbl>
    <w:p>
      <w:pPr>
        <w:spacing w:before="160"/>
      </w:pPr>
      <w:r>
        <w:rPr>
          <w:rFonts w:ascii="Arial" w:hAnsi="Arial"/>
          <w:sz w:val="17"/>
        </w:rPr>
        <w:t>Note: Table 1 is intended as a main manuscript table. Claim boundaries are deliberately conservative because the analysis does not complete R-ISS, PFS, treatment-response, or prospective clinical-utility validation.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