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urn:schemas-microsoft-com:office:word" xmlns:wps="http://schemas.microsoft.com/office/word/2010/wordprocessingShape" mc:Ignorable="w14 wp14">
  <w:body>
    <w:p>
      <w:r>
        <w:t>决策迁移复盘记录</w:t>
      </w:r>
    </w:p>
    <w:p>
      <w:r>
        <w:t>背景：团队准备把原先依赖人工审批的案例录入流程迁移到半自动导入，希望缩短整理时间，同时保留人工校对。</w:t>
      </w:r>
    </w:p>
    <w:p>
      <w:r>
        <w:t>冲突：如果一次性把所有历史材料都导入，短期内数量会提升，但低质量样本也会进入系统，影响后续检索与相似案例判断。</w:t>
      </w:r>
    </w:p>
    <w:p>
      <w:r>
        <w:t>决策节点：是先追求导入规模，还是先建立质量阈值与抽样复核流程。</w:t>
      </w:r>
    </w:p>
    <w:p>
      <w:r>
        <w:t>采取行动：项目负责人没有直接全量迁移，而是先选择三类典型材料做小范围试导入，并要求每批样本都记录抽取偏差。</w:t>
      </w:r>
    </w:p>
    <w:p>
      <w:r>
        <w:t>结果：虽然前两周导入速度不快，但团队很快识别出文档抽取、字段映射和案例去重中的主要问题，后续批量导入稳定性明显提升。</w:t>
      </w:r>
    </w:p>
    <w:p>
      <w:r>
        <w:t>核心教训：导入系统的首要目标不是导得快，而是先确认导入后的案例还能被稳定复用。</w:t>
      </w:r>
    </w:p>
    <w:sectPr>
      <w:pgSz w:w="11906" w:h="16838"/>
      <w:pgMar w:top="1440" w:right="1440" w:bottom="1440" w:left="1440" w:header="708" w:footer="708" w:gutter="0"/>
    </w:sectPr>
  </w:body>
</w:document>
</file>