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60" w:rsidRDefault="00F94759">
      <w:pPr>
        <w:rPr>
          <w:rFonts w:ascii="Arial" w:hAnsi="Arial" w:cs="Arial" w:hint="eastAsia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1. </w:t>
      </w:r>
      <w:proofErr w:type="spellStart"/>
      <w:proofErr w:type="gramStart"/>
      <w:r>
        <w:rPr>
          <w:rFonts w:ascii="Arial" w:hAnsi="Arial" w:cs="Arial"/>
          <w:color w:val="123654"/>
          <w:sz w:val="20"/>
          <w:szCs w:val="20"/>
        </w:rPr>
        <w:t>symboling</w:t>
      </w:r>
      <w:proofErr w:type="spellEnd"/>
      <w:proofErr w:type="gramEnd"/>
      <w:r>
        <w:rPr>
          <w:rFonts w:ascii="Arial" w:hAnsi="Arial" w:cs="Arial"/>
          <w:color w:val="123654"/>
          <w:sz w:val="20"/>
          <w:szCs w:val="20"/>
        </w:rPr>
        <w:t>: -3, -2, -1, 0, 1, 2, 3.</w:t>
      </w:r>
      <w:r>
        <w:rPr>
          <w:rFonts w:ascii="Arial" w:hAnsi="Arial" w:cs="Arial"/>
          <w:color w:val="123654"/>
          <w:sz w:val="20"/>
          <w:szCs w:val="20"/>
        </w:rPr>
        <w:br/>
        <w:t xml:space="preserve">2.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normalized-losses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65 to 256.</w:t>
      </w:r>
      <w:r>
        <w:rPr>
          <w:rFonts w:ascii="Arial" w:hAnsi="Arial" w:cs="Arial"/>
          <w:color w:val="123654"/>
          <w:sz w:val="20"/>
          <w:szCs w:val="20"/>
        </w:rPr>
        <w:br/>
        <w:t>3. make: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alfa-romero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audi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bmw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chevrolet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dodge,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honda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isuzu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jaguar,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mazda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mercedes-benz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mercury,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mitsubishi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nissan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peugot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plymouth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porsche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renault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saab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subaru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toyota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volkswagen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volvo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4.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fuel-type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diesel, gas.</w:t>
      </w:r>
      <w:r>
        <w:rPr>
          <w:rFonts w:ascii="Arial" w:hAnsi="Arial" w:cs="Arial"/>
          <w:color w:val="123654"/>
          <w:sz w:val="20"/>
          <w:szCs w:val="20"/>
        </w:rPr>
        <w:br/>
        <w:t xml:space="preserve">5.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aspiration</w:t>
      </w:r>
      <w:proofErr w:type="gramEnd"/>
      <w:r>
        <w:rPr>
          <w:rFonts w:ascii="Arial" w:hAnsi="Arial" w:cs="Arial"/>
          <w:color w:val="123654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std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turbo.</w:t>
      </w:r>
      <w:r>
        <w:rPr>
          <w:rFonts w:ascii="Arial" w:hAnsi="Arial" w:cs="Arial"/>
          <w:color w:val="123654"/>
          <w:sz w:val="20"/>
          <w:szCs w:val="20"/>
        </w:rPr>
        <w:br/>
        <w:t xml:space="preserve">6.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num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-of-doors: four, two.</w:t>
      </w:r>
      <w:r>
        <w:rPr>
          <w:rFonts w:ascii="Arial" w:hAnsi="Arial" w:cs="Arial"/>
          <w:color w:val="123654"/>
          <w:sz w:val="20"/>
          <w:szCs w:val="20"/>
        </w:rPr>
        <w:br/>
        <w:t>7. body-style: hardtop, wagon, sedan, hatchback, convertible.</w:t>
      </w:r>
      <w:r>
        <w:rPr>
          <w:rFonts w:ascii="Arial" w:hAnsi="Arial" w:cs="Arial"/>
          <w:color w:val="123654"/>
          <w:sz w:val="20"/>
          <w:szCs w:val="20"/>
        </w:rPr>
        <w:br/>
        <w:t xml:space="preserve">8. drive-wheels: 4wd,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fwd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rwd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  <w:t>9. engine-location: front, rear.</w:t>
      </w:r>
      <w:r>
        <w:rPr>
          <w:rFonts w:ascii="Arial" w:hAnsi="Arial" w:cs="Arial"/>
          <w:color w:val="123654"/>
          <w:sz w:val="20"/>
          <w:szCs w:val="20"/>
        </w:rPr>
        <w:br/>
        <w:t>10. wheel-base: continuous from 86.6 120.9.</w:t>
      </w:r>
      <w:r>
        <w:rPr>
          <w:rFonts w:ascii="Arial" w:hAnsi="Arial" w:cs="Arial"/>
          <w:color w:val="123654"/>
          <w:sz w:val="20"/>
          <w:szCs w:val="20"/>
        </w:rPr>
        <w:br/>
        <w:t xml:space="preserve">11.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length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141.1 to 208.1.</w:t>
      </w:r>
      <w:r>
        <w:rPr>
          <w:rFonts w:ascii="Arial" w:hAnsi="Arial" w:cs="Arial"/>
          <w:color w:val="123654"/>
          <w:sz w:val="20"/>
          <w:szCs w:val="20"/>
        </w:rPr>
        <w:br/>
        <w:t xml:space="preserve">12.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width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60.3 to 72.3.</w:t>
      </w:r>
      <w:r>
        <w:rPr>
          <w:rFonts w:ascii="Arial" w:hAnsi="Arial" w:cs="Arial"/>
          <w:color w:val="123654"/>
          <w:sz w:val="20"/>
          <w:szCs w:val="20"/>
        </w:rPr>
        <w:br/>
        <w:t xml:space="preserve">13.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height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47.8 to 59.8.</w:t>
      </w:r>
      <w:r>
        <w:rPr>
          <w:rFonts w:ascii="Arial" w:hAnsi="Arial" w:cs="Arial"/>
          <w:color w:val="123654"/>
          <w:sz w:val="20"/>
          <w:szCs w:val="20"/>
        </w:rPr>
        <w:br/>
        <w:t>14. curb-weight: continuous from 1488 to 4066.</w:t>
      </w:r>
      <w:r>
        <w:rPr>
          <w:rFonts w:ascii="Arial" w:hAnsi="Arial" w:cs="Arial"/>
          <w:color w:val="123654"/>
          <w:sz w:val="20"/>
          <w:szCs w:val="20"/>
        </w:rPr>
        <w:br/>
        <w:t xml:space="preserve">15. engine-type: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dohc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dohcv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l,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ohc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ohcf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ohcv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rotor.</w:t>
      </w:r>
      <w:r>
        <w:rPr>
          <w:rFonts w:ascii="Arial" w:hAnsi="Arial" w:cs="Arial"/>
          <w:color w:val="123654"/>
          <w:sz w:val="20"/>
          <w:szCs w:val="20"/>
        </w:rPr>
        <w:br/>
        <w:t xml:space="preserve">16.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num</w:t>
      </w:r>
      <w:proofErr w:type="spellEnd"/>
      <w:r>
        <w:rPr>
          <w:rFonts w:ascii="Arial" w:hAnsi="Arial" w:cs="Arial"/>
          <w:color w:val="123654"/>
          <w:sz w:val="20"/>
          <w:szCs w:val="20"/>
        </w:rPr>
        <w:t>-of-cylinders: eight, five, four, six, three, twelve, two.</w:t>
      </w:r>
      <w:r>
        <w:rPr>
          <w:rFonts w:ascii="Arial" w:hAnsi="Arial" w:cs="Arial"/>
          <w:color w:val="123654"/>
          <w:sz w:val="20"/>
          <w:szCs w:val="20"/>
        </w:rPr>
        <w:br/>
        <w:t>17. engine-size: continuous from 61 to 326.</w:t>
      </w:r>
      <w:r>
        <w:rPr>
          <w:rFonts w:ascii="Arial" w:hAnsi="Arial" w:cs="Arial"/>
          <w:color w:val="123654"/>
          <w:sz w:val="20"/>
          <w:szCs w:val="20"/>
        </w:rPr>
        <w:br/>
        <w:t xml:space="preserve">18. fuel-system: 1bbl, 2bbl, 4bbl,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idi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mfi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mpfi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spdi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spfi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  <w:r>
        <w:rPr>
          <w:rFonts w:ascii="Arial" w:hAnsi="Arial" w:cs="Arial"/>
          <w:color w:val="123654"/>
          <w:sz w:val="20"/>
          <w:szCs w:val="20"/>
        </w:rPr>
        <w:br/>
        <w:t xml:space="preserve">19.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bore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2.54 to 3.94.</w:t>
      </w:r>
      <w:r>
        <w:rPr>
          <w:rFonts w:ascii="Arial" w:hAnsi="Arial" w:cs="Arial"/>
          <w:color w:val="123654"/>
          <w:sz w:val="20"/>
          <w:szCs w:val="20"/>
        </w:rPr>
        <w:br/>
        <w:t xml:space="preserve">20.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stroke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2.07 to 4.17.</w:t>
      </w:r>
      <w:r>
        <w:rPr>
          <w:rFonts w:ascii="Arial" w:hAnsi="Arial" w:cs="Arial"/>
          <w:color w:val="123654"/>
          <w:sz w:val="20"/>
          <w:szCs w:val="20"/>
        </w:rPr>
        <w:br/>
        <w:t>21. compression-ratio: continuous from 7 to 23.</w:t>
      </w:r>
      <w:r>
        <w:rPr>
          <w:rFonts w:ascii="Arial" w:hAnsi="Arial" w:cs="Arial"/>
          <w:color w:val="123654"/>
          <w:sz w:val="20"/>
          <w:szCs w:val="20"/>
        </w:rPr>
        <w:br/>
        <w:t xml:space="preserve">22.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horsepower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48 to 288.</w:t>
      </w:r>
      <w:r>
        <w:rPr>
          <w:rFonts w:ascii="Arial" w:hAnsi="Arial" w:cs="Arial"/>
          <w:color w:val="123654"/>
          <w:sz w:val="20"/>
          <w:szCs w:val="20"/>
        </w:rPr>
        <w:br/>
        <w:t>23. peak-rpm: continuous from 4150 to 6600.</w:t>
      </w:r>
      <w:r>
        <w:rPr>
          <w:rFonts w:ascii="Arial" w:hAnsi="Arial" w:cs="Arial"/>
          <w:color w:val="123654"/>
          <w:sz w:val="20"/>
          <w:szCs w:val="20"/>
        </w:rPr>
        <w:br/>
        <w:t>24. city-mpg: continuous from 13 to 49.</w:t>
      </w:r>
      <w:r>
        <w:rPr>
          <w:rFonts w:ascii="Arial" w:hAnsi="Arial" w:cs="Arial"/>
          <w:color w:val="123654"/>
          <w:sz w:val="20"/>
          <w:szCs w:val="20"/>
        </w:rPr>
        <w:br/>
        <w:t>25. highway-mpg: continuous from 16 to 54.</w:t>
      </w:r>
      <w:r>
        <w:rPr>
          <w:rFonts w:ascii="Arial" w:hAnsi="Arial" w:cs="Arial"/>
          <w:color w:val="123654"/>
          <w:sz w:val="20"/>
          <w:szCs w:val="20"/>
        </w:rPr>
        <w:br/>
        <w:t xml:space="preserve">26.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price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continuous from 5118 to 45400.</w:t>
      </w:r>
    </w:p>
    <w:p w:rsidR="00F94759" w:rsidRDefault="00F94759">
      <w:pPr>
        <w:rPr>
          <w:rFonts w:ascii="Arial" w:hAnsi="Arial" w:cs="Arial" w:hint="eastAsia"/>
          <w:color w:val="123654"/>
          <w:sz w:val="20"/>
          <w:szCs w:val="20"/>
        </w:rPr>
      </w:pPr>
    </w:p>
    <w:p w:rsidR="00F94759" w:rsidRPr="00EA67AB" w:rsidRDefault="00F94759" w:rsidP="00EA67AB">
      <w:pPr>
        <w:rPr>
          <w:rFonts w:hint="eastAsia"/>
        </w:rPr>
      </w:pPr>
      <w:r w:rsidRPr="00EA67AB">
        <w:t>该数据</w:t>
      </w:r>
      <w:proofErr w:type="gramStart"/>
      <w:r w:rsidRPr="00EA67AB">
        <w:t>集包括</w:t>
      </w:r>
      <w:proofErr w:type="gramEnd"/>
      <w:r w:rsidRPr="00EA67AB">
        <w:t>三种类型的</w:t>
      </w:r>
      <w:r w:rsidR="00EA67AB">
        <w:rPr>
          <w:rFonts w:hint="eastAsia"/>
        </w:rPr>
        <w:t>特征</w:t>
      </w:r>
      <w:r w:rsidRPr="00EA67AB">
        <w:t>:</w:t>
      </w:r>
    </w:p>
    <w:p w:rsidR="00F94759" w:rsidRPr="00EA67AB" w:rsidRDefault="00F94759" w:rsidP="00EA67AB">
      <w:pPr>
        <w:rPr>
          <w:rFonts w:hint="eastAsia"/>
        </w:rPr>
      </w:pPr>
      <w:r w:rsidRPr="00EA67AB">
        <w:t>(a)</w:t>
      </w:r>
      <w:r w:rsidRPr="00EA67AB">
        <w:t>汽车的各种特性的规格</w:t>
      </w:r>
    </w:p>
    <w:p w:rsidR="00F94759" w:rsidRPr="00EA67AB" w:rsidRDefault="00F94759" w:rsidP="00EA67AB">
      <w:pPr>
        <w:rPr>
          <w:rFonts w:hint="eastAsia"/>
        </w:rPr>
      </w:pPr>
      <w:r w:rsidRPr="00EA67AB">
        <w:t>(b)</w:t>
      </w:r>
      <w:r w:rsidRPr="00EA67AB">
        <w:t>其指定的保险风险等级</w:t>
      </w:r>
      <w:r w:rsidRPr="00EA67AB">
        <w:rPr>
          <w:rFonts w:hint="eastAsia"/>
        </w:rPr>
        <w:t>(</w:t>
      </w:r>
      <w:proofErr w:type="spellStart"/>
      <w:r w:rsidRPr="00EA67AB">
        <w:t>symboling</w:t>
      </w:r>
      <w:proofErr w:type="spellEnd"/>
      <w:r w:rsidRPr="00EA67AB">
        <w:rPr>
          <w:rFonts w:hint="eastAsia"/>
        </w:rPr>
        <w:t>)</w:t>
      </w:r>
    </w:p>
    <w:p w:rsidR="00F94759" w:rsidRPr="00EA67AB" w:rsidRDefault="00F94759" w:rsidP="00EA67AB">
      <w:pPr>
        <w:rPr>
          <w:rFonts w:hint="eastAsia"/>
        </w:rPr>
      </w:pPr>
      <w:r w:rsidRPr="00EA67AB">
        <w:t>(c)</w:t>
      </w:r>
      <w:r w:rsidRPr="00EA67AB">
        <w:t>与其他汽车相比的正常使用损失</w:t>
      </w:r>
      <w:r w:rsidRPr="00EA67AB">
        <w:rPr>
          <w:rFonts w:hint="eastAsia"/>
        </w:rPr>
        <w:t>(</w:t>
      </w:r>
      <w:r w:rsidRPr="00EA67AB">
        <w:t>normalized-losses</w:t>
      </w:r>
      <w:r w:rsidRPr="00EA67AB">
        <w:rPr>
          <w:rFonts w:hint="eastAsia"/>
        </w:rPr>
        <w:t>)</w:t>
      </w:r>
      <w:r w:rsidRPr="00EA67AB">
        <w:t>。</w:t>
      </w:r>
    </w:p>
    <w:p w:rsidR="00F94759" w:rsidRPr="00EA67AB" w:rsidRDefault="00F94759" w:rsidP="00EA67AB">
      <w:pPr>
        <w:rPr>
          <w:rFonts w:hint="eastAsia"/>
        </w:rPr>
      </w:pPr>
      <w:r w:rsidRPr="00EA67AB">
        <w:t>第二个评级对应的是汽车的风险高于其价格所显示的程度。值为</w:t>
      </w:r>
      <w:r w:rsidRPr="00EA67AB">
        <w:t>+3</w:t>
      </w:r>
      <w:r w:rsidRPr="00EA67AB">
        <w:t>表示汽车有风险，值为</w:t>
      </w:r>
      <w:r w:rsidRPr="00EA67AB">
        <w:t>-3</w:t>
      </w:r>
      <w:r w:rsidRPr="00EA67AB">
        <w:t>表示汽车可能很安全。</w:t>
      </w:r>
    </w:p>
    <w:p w:rsidR="00F94759" w:rsidRPr="00EA67AB" w:rsidRDefault="00F94759" w:rsidP="00EA67AB">
      <w:pPr>
        <w:rPr>
          <w:rFonts w:hint="eastAsia"/>
        </w:rPr>
      </w:pPr>
      <w:r w:rsidRPr="00EA67AB">
        <w:t>第三个因素是每辆投保车辆每年的相对平均赔款。表示平均损失每辆车每年。</w:t>
      </w:r>
    </w:p>
    <w:p w:rsidR="00F94759" w:rsidRPr="00EA67AB" w:rsidRDefault="00F94759" w:rsidP="00EA67AB">
      <w:pPr>
        <w:rPr>
          <w:rFonts w:hint="eastAsia"/>
        </w:rPr>
      </w:pPr>
      <w:bookmarkStart w:id="0" w:name="_GoBack"/>
      <w:bookmarkEnd w:id="0"/>
    </w:p>
    <w:p w:rsidR="00EA67AB" w:rsidRPr="00EA67AB" w:rsidRDefault="00EA67AB" w:rsidP="00EA67AB">
      <w:pPr>
        <w:rPr>
          <w:rFonts w:hint="eastAsia"/>
          <w:b/>
        </w:rPr>
      </w:pPr>
      <w:r w:rsidRPr="00EA67AB">
        <w:rPr>
          <w:rFonts w:hint="eastAsia"/>
          <w:highlight w:val="yellow"/>
        </w:rPr>
        <w:t>任务</w:t>
      </w:r>
      <w:r w:rsidRPr="00EA67AB">
        <w:rPr>
          <w:rFonts w:hint="eastAsia"/>
          <w:highlight w:val="yellow"/>
        </w:rPr>
        <w:t>:</w:t>
      </w:r>
    </w:p>
    <w:p w:rsidR="00F94759" w:rsidRPr="00EA67AB" w:rsidRDefault="00F94759" w:rsidP="00EA67AB">
      <w:r w:rsidRPr="00EA67AB">
        <w:rPr>
          <w:rFonts w:hint="eastAsia"/>
        </w:rPr>
        <w:t>根据</w:t>
      </w:r>
      <w:proofErr w:type="gramStart"/>
      <w:r w:rsidRPr="00EA67AB">
        <w:rPr>
          <w:rFonts w:hint="eastAsia"/>
        </w:rPr>
        <w:t>各特征</w:t>
      </w:r>
      <w:proofErr w:type="gramEnd"/>
      <w:r w:rsidRPr="00EA67AB">
        <w:rPr>
          <w:rFonts w:hint="eastAsia"/>
        </w:rPr>
        <w:t>预测汽车的价格</w:t>
      </w:r>
    </w:p>
    <w:sectPr w:rsidR="00F94759" w:rsidRPr="00EA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EA"/>
    <w:rsid w:val="00EA67AB"/>
    <w:rsid w:val="00F137EA"/>
    <w:rsid w:val="00F55F60"/>
    <w:rsid w:val="00F9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F94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F9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2020-01-02T08:31:00Z</dcterms:created>
  <dcterms:modified xsi:type="dcterms:W3CDTF">2020-01-02T08:43:00Z</dcterms:modified>
</cp:coreProperties>
</file>