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HoloLens MDL2 Assets" w:hAnsi="HoloLens MDL2 Assets" w:eastAsia="仿宋" w:cs="HoloLens MDL2 Assets"/>
          <w:b/>
          <w:bCs/>
          <w:color w:val="auto"/>
          <w:sz w:val="44"/>
          <w:szCs w:val="44"/>
          <w:highlight w:val="none"/>
          <w:lang w:val="en-US" w:eastAsia="zh-CN"/>
        </w:rPr>
      </w:pPr>
      <w:r>
        <w:rPr>
          <w:sz w:val="52"/>
        </w:rPr>
        <mc:AlternateContent>
          <mc:Choice Requires="wps">
            <w:drawing>
              <wp:anchor distT="0" distB="0" distL="114300" distR="114300" simplePos="0" relativeHeight="251702272" behindDoc="1" locked="0" layoutInCell="1" allowOverlap="1">
                <wp:simplePos x="0" y="0"/>
                <wp:positionH relativeFrom="column">
                  <wp:posOffset>-1143000</wp:posOffset>
                </wp:positionH>
                <wp:positionV relativeFrom="page">
                  <wp:posOffset>1504950</wp:posOffset>
                </wp:positionV>
                <wp:extent cx="17773015" cy="38735"/>
                <wp:effectExtent l="0" t="9525" r="635" b="27940"/>
                <wp:wrapNone/>
                <wp:docPr id="11" name="直接箭头连接符 11"/>
                <wp:cNvGraphicFramePr/>
                <a:graphic xmlns:a="http://schemas.openxmlformats.org/drawingml/2006/main">
                  <a:graphicData uri="http://schemas.microsoft.com/office/word/2010/wordprocessingShape">
                    <wps:wsp>
                      <wps:cNvCnPr/>
                      <wps:spPr>
                        <a:xfrm>
                          <a:off x="0" y="0"/>
                          <a:ext cx="17773015" cy="38735"/>
                        </a:xfrm>
                        <a:prstGeom prst="straightConnector1">
                          <a:avLst/>
                        </a:prstGeom>
                        <a:ln w="19050" cap="flat" cmpd="sng">
                          <a:solidFill>
                            <a:srgbClr val="C00000"/>
                          </a:solidFill>
                          <a:prstDash val="solid"/>
                          <a:miter/>
                          <a:headEnd type="none" w="med" len="med"/>
                          <a:tailEnd type="none" w="med" len="med"/>
                        </a:ln>
                      </wps:spPr>
                      <wps:bodyPr/>
                    </wps:wsp>
                  </a:graphicData>
                </a:graphic>
              </wp:anchor>
            </w:drawing>
          </mc:Choice>
          <mc:Fallback>
            <w:pict>
              <v:shape id="_x0000_s1026" o:spid="_x0000_s1026" o:spt="32" type="#_x0000_t32" style="position:absolute;left:0pt;margin-left:-90pt;margin-top:118.5pt;height:3.05pt;width:1399.45pt;mso-position-vertical-relative:page;z-index:-251614208;mso-width-relative:page;mso-height-relative:page;" filled="f" stroked="t" coordsize="21600,21600" o:gfxdata="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tdC+dwAAAANAQAADwAAAAAAAAABACAAAAAiAAAAZHJzL2Rvd25yZXYueG1sUEsBAhQA&#10;FAAAAAgAh07iQJERYGTuAQAAsAMAAA4AAAAAAAAAAQAgAAAAKwEAAGRycy9lMm9Eb2MueG1sUEsF&#10;BgAAAAAGAAYAWQEAAIsFAAAAAA==&#10;">
                <v:fill on="f" focussize="0,0"/>
                <v:stroke weight="1.5pt" color="#C00000" joinstyle="miter"/>
                <v:imagedata o:title=""/>
                <o:lock v:ext="edit" aspectratio="f"/>
              </v:shape>
            </w:pict>
          </mc:Fallback>
        </mc:AlternateContent>
      </w:r>
      <w:r>
        <w:rPr>
          <w:sz w:val="52"/>
        </w:rPr>
        <mc:AlternateContent>
          <mc:Choice Requires="wps">
            <w:drawing>
              <wp:anchor distT="0" distB="0" distL="114300" distR="114300" simplePos="0" relativeHeight="251708416" behindDoc="0" locked="0" layoutInCell="1" allowOverlap="1">
                <wp:simplePos x="0" y="0"/>
                <wp:positionH relativeFrom="column">
                  <wp:posOffset>-1139190</wp:posOffset>
                </wp:positionH>
                <wp:positionV relativeFrom="page">
                  <wp:posOffset>1442720</wp:posOffset>
                </wp:positionV>
                <wp:extent cx="189849125" cy="15875"/>
                <wp:effectExtent l="0" t="28575" r="3175" b="31750"/>
                <wp:wrapNone/>
                <wp:docPr id="1" name="直接连接符 1"/>
                <wp:cNvGraphicFramePr/>
                <a:graphic xmlns:a="http://schemas.openxmlformats.org/drawingml/2006/main">
                  <a:graphicData uri="http://schemas.microsoft.com/office/word/2010/wordprocessingShape">
                    <wps:wsp>
                      <wps:cNvCnPr/>
                      <wps:spPr>
                        <a:xfrm>
                          <a:off x="329565" y="1543050"/>
                          <a:ext cx="189849125" cy="1587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89.7pt;margin-top:113.6pt;height:1.25pt;width:14948.75pt;mso-position-vertical-relative:page;z-index:251708416;mso-width-relative:page;mso-height-relative:page;" filled="f" stroked="t" coordsize="21600,21600" o:gfxdata="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Kj/tTcAAAA&#10;DgEAAA8AAAAAAAAAAQAgAAAAIgAAAGRycy9kb3ducmV2LnhtbFBLAQIUABQAAAAIAIdO4kBgqu5B&#10;4AEAAIMDAAAOAAAAAAAAAAEAIAAAACsBAABkcnMvZTJvRG9jLnhtbFBLBQYAAAAABgAGAFkBAAB9&#10;BQAAAAA=&#10;">
                <v:fill on="f" focussize="0,0"/>
                <v:stroke weight="4.5pt" color="#C00000" miterlimit="8" joinstyle="miter"/>
                <v:imagedata o:title=""/>
                <o:lock v:ext="edit" aspectratio="f"/>
              </v:line>
            </w:pict>
          </mc:Fallback>
        </mc:AlternateContent>
      </w:r>
      <w:r>
        <w:rPr>
          <w:rFonts w:hint="default" w:ascii="HoloLens MDL2 Assets" w:hAnsi="HoloLens MDL2 Assets" w:eastAsia="仿宋" w:cs="HoloLens MDL2 Assets"/>
          <w:b/>
          <w:bCs/>
          <w:color w:val="C00000"/>
          <w:sz w:val="52"/>
          <w:szCs w:val="52"/>
          <w:highlight w:val="none"/>
          <w:lang w:val="en-US" w:eastAsia="zh-CN"/>
        </w:rPr>
        <w:t>南平市劳动能力鉴定委员</w:t>
      </w:r>
      <w:r>
        <w:rPr>
          <w:rFonts w:hint="eastAsia" w:ascii="HoloLens MDL2 Assets" w:hAnsi="HoloLens MDL2 Assets" w:eastAsia="仿宋" w:cs="HoloLens MDL2 Assets"/>
          <w:b/>
          <w:bCs/>
          <w:color w:val="C00000"/>
          <w:sz w:val="52"/>
          <w:szCs w:val="52"/>
          <w:highlight w:val="none"/>
          <w:lang w:val="en-US" w:eastAsia="zh-CN"/>
        </w:rPr>
        <w:t xml:space="preserve">会                                   </w:t>
      </w:r>
      <w:r>
        <w:rPr>
          <w:rFonts w:hint="eastAsia" w:ascii="仿宋" w:hAnsi="仿宋" w:eastAsia="仿宋" w:cs="Times New Roman"/>
          <w:spacing w:val="-20"/>
          <w:kern w:val="0"/>
          <w:sz w:val="44"/>
          <w:szCs w:val="44"/>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HoloLens MDL2 Assets" w:hAnsi="HoloLens MDL2 Assets" w:eastAsia="仿宋" w:cs="HoloLens MDL2 Assets"/>
          <w:b w:val="0"/>
          <w:bCs w:val="0"/>
          <w:color w:val="auto"/>
          <w:sz w:val="30"/>
          <w:szCs w:val="30"/>
          <w:highlight w:val="none"/>
          <w:lang w:val="en-US" w:eastAsia="zh-CN"/>
        </w:rPr>
        <w:t xml:space="preserve">            南劳鉴病字</w:t>
      </w:r>
      <w:r>
        <w:rPr>
          <w:rFonts w:hint="eastAsia" w:ascii="仿宋" w:hAnsi="仿宋" w:eastAsia="仿宋" w:cs="Times New Roman"/>
          <w:sz w:val="32"/>
          <w:szCs w:val="32"/>
        </w:rPr>
        <w:t>[{{year}}]</w:t>
      </w:r>
      <w:r>
        <w:rPr>
          <w:rFonts w:hint="eastAsia" w:ascii="仿宋" w:hAnsi="仿宋" w:eastAsia="仿宋" w:cs="仿宋"/>
          <w:b w:val="0"/>
          <w:bCs w:val="0"/>
          <w:color w:val="auto"/>
          <w:sz w:val="30"/>
          <w:szCs w:val="30"/>
          <w:highlight w:val="none"/>
          <w:lang w:val="en-US" w:eastAsia="zh-CN"/>
        </w:rPr>
        <w:t>第{{appraiseNumber}}号</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 xml:space="preserve">    依据劳动和社会保障部《职工非因工伤残或因病丧失劳动能力程度鉴定标准（试行）》的通知（劳社部发［2002］8号）标准，经劳动能力鉴定专家组鉴定，病残情况为：{{sickCondition}}，鉴定结论为：{{appraise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本鉴定结论作出之日起1年后，用人单位、个人或社保经办机构认为病伤残情况发生变化的，可以申请劳动能力复查鉴定。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福建省南平市劳动能力鉴定委员会</w:t>
      </w: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 xml:space="preserve">   {{year}}年{{month}}月{{date}}日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left"/>
        <w:textAlignment w:val="auto"/>
        <w:rPr>
          <w:rFonts w:hint="eastAsia" w:ascii="宋体" w:hAnsi="宋体" w:eastAsia="宋体" w:cs="宋体"/>
          <w:b w:val="0"/>
          <w:bCs w:val="0"/>
          <w:color w:val="auto"/>
          <w:sz w:val="28"/>
          <w:szCs w:val="28"/>
          <w:highlight w:val="none"/>
          <w:lang w:val="en-US" w:eastAsia="zh-CN"/>
        </w:rPr>
      </w:pPr>
      <w:r>
        <w:rPr>
          <w:rFonts w:ascii="Calibri" w:hAnsi="Calibri" w:eastAsia="宋体" w:cs="Times New Roman"/>
          <w:sz w:val="28"/>
          <w:szCs w:val="28"/>
        </w:rPr>
        <mc:AlternateContent>
          <mc:Choice Requires="wps">
            <w:drawing>
              <wp:anchor distT="0" distB="0" distL="114300" distR="114300" simplePos="0" relativeHeight="251701248" behindDoc="0" locked="0" layoutInCell="1" allowOverlap="1">
                <wp:simplePos x="0" y="0"/>
                <wp:positionH relativeFrom="column">
                  <wp:posOffset>-1266190</wp:posOffset>
                </wp:positionH>
                <wp:positionV relativeFrom="page">
                  <wp:posOffset>10058400</wp:posOffset>
                </wp:positionV>
                <wp:extent cx="8217535" cy="19050"/>
                <wp:effectExtent l="0" t="28575" r="12065" b="28575"/>
                <wp:wrapNone/>
                <wp:docPr id="6" name="直接连接符 6"/>
                <wp:cNvGraphicFramePr/>
                <a:graphic xmlns:a="http://schemas.openxmlformats.org/drawingml/2006/main">
                  <a:graphicData uri="http://schemas.microsoft.com/office/word/2010/wordprocessingShape">
                    <wps:wsp>
                      <wps:cNvCnPr/>
                      <wps:spPr>
                        <a:xfrm>
                          <a:off x="0" y="0"/>
                          <a:ext cx="8217535" cy="19050"/>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1.5pt;width:647.05pt;mso-position-vertical-relative:page;z-index:251701248;mso-width-relative:page;mso-height-relative:page;" filled="f" stroked="t" coordsize="21600,21600" o:gfxdata="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nI1u9wAAAAPAQAADwAAAAAAAAAB&#10;ACAAAAAiAAAAZHJzL2Rvd25yZXYueG1sUEsBAhQAFAAAAAgAh07iQI2lPTzTAQAAdgMAAA4AAAAA&#10;AAAAAQAgAAAAKwEAAGRycy9lMm9Eb2MueG1sUEsFBgAAAAAGAAYAWQEAAHAFAAAAAA==&#10;">
                <v:fill on="f" focussize="0,0"/>
                <v:stroke weight="4.5pt" color="#C00000" miterlimit="8" joinstyle="miter"/>
                <v:imagedata o:title=""/>
                <o:lock v:ext="edit" aspectratio="f"/>
              </v:line>
            </w:pict>
          </mc:Fallback>
        </mc:AlternateContent>
      </w:r>
      <w:r>
        <w:rPr>
          <w:rFonts w:ascii="Calibri" w:hAnsi="Calibri" w:eastAsia="宋体" w:cs="Times New Roman"/>
          <w:sz w:val="28"/>
          <w:szCs w:val="28"/>
        </w:rPr>
        <mc:AlternateContent>
          <mc:Choice Requires="wps">
            <w:drawing>
              <wp:anchor distT="0" distB="0" distL="114300" distR="114300" simplePos="0" relativeHeight="251695104" behindDoc="1" locked="0" layoutInCell="1" allowOverlap="1">
                <wp:simplePos x="0" y="0"/>
                <wp:positionH relativeFrom="column">
                  <wp:posOffset>-1158240</wp:posOffset>
                </wp:positionH>
                <wp:positionV relativeFrom="page">
                  <wp:posOffset>9973945</wp:posOffset>
                </wp:positionV>
                <wp:extent cx="106315510" cy="8890"/>
                <wp:effectExtent l="0" t="9525" r="2540" b="10160"/>
                <wp:wrapNone/>
                <wp:docPr id="7" name="直接连接符 7"/>
                <wp:cNvGraphicFramePr/>
                <a:graphic xmlns:a="http://schemas.openxmlformats.org/drawingml/2006/main">
                  <a:graphicData uri="http://schemas.microsoft.com/office/word/2010/wordprocessingShape">
                    <wps:wsp>
                      <wps:cNvCnPr/>
                      <wps:spPr>
                        <a:xfrm flipV="1">
                          <a:off x="0" y="0"/>
                          <a:ext cx="106315510" cy="8890"/>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1.2pt;margin-top:785.35pt;height:0.7pt;width:8371.3pt;mso-position-vertical-relative:page;z-index:-251621376;mso-width-relative:page;mso-height-relative:page;" filled="f" stroked="t" coordsize="21600,21600" o:gfxdata="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KhIZfZAAAAEAEAAA8AAAAA&#10;AAAAAQAgAAAAIgAAAGRycy9kb3ducmV2LnhtbFBLAQIUABQAAAAIAIdO4kCbkgLt2gEAAIEDAAAO&#10;AAAAAAAAAAEAIAAAACgBAABkcnMvZTJvRG9jLnhtbFBLBQYAAAAABgAGAFkBAAB0BQAAAAA=&#10;">
                <v:fill on="f" focussize="0,0"/>
                <v:stroke weight="1.5pt" color="#C00000" miterlimit="8" joinstyle="miter"/>
                <v:imagedata o:title=""/>
                <o:lock v:ext="edit" aspectratio="f"/>
              </v:line>
            </w:pict>
          </mc:Fallback>
        </mc:AlternateContent>
      </w:r>
    </w:p>
    <w:sectPr>
      <w:pgSz w:w="11906" w:h="16838"/>
      <w:pgMar w:top="1440" w:right="1179" w:bottom="1440" w:left="1179"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BA4A71"/>
    <w:rsid w:val="05785CB4"/>
    <w:rsid w:val="05F5210D"/>
    <w:rsid w:val="0EB30148"/>
    <w:rsid w:val="0F3D45F3"/>
    <w:rsid w:val="115D6C86"/>
    <w:rsid w:val="129B39F4"/>
    <w:rsid w:val="15571446"/>
    <w:rsid w:val="18E43221"/>
    <w:rsid w:val="21042342"/>
    <w:rsid w:val="294C7A98"/>
    <w:rsid w:val="2F4861AB"/>
    <w:rsid w:val="3216469A"/>
    <w:rsid w:val="340D6903"/>
    <w:rsid w:val="36052489"/>
    <w:rsid w:val="3766011C"/>
    <w:rsid w:val="39DE2829"/>
    <w:rsid w:val="3E2072F2"/>
    <w:rsid w:val="41545DB3"/>
    <w:rsid w:val="44F30C85"/>
    <w:rsid w:val="46830E9A"/>
    <w:rsid w:val="491C6786"/>
    <w:rsid w:val="4B0E2324"/>
    <w:rsid w:val="4CBF1B18"/>
    <w:rsid w:val="505A2609"/>
    <w:rsid w:val="576444D7"/>
    <w:rsid w:val="5D212235"/>
    <w:rsid w:val="5E4D369A"/>
    <w:rsid w:val="63173032"/>
    <w:rsid w:val="645C1FA8"/>
    <w:rsid w:val="652F49C4"/>
    <w:rsid w:val="6536092D"/>
    <w:rsid w:val="66FF35EF"/>
    <w:rsid w:val="67650930"/>
    <w:rsid w:val="680F38E0"/>
    <w:rsid w:val="68AC4D8B"/>
    <w:rsid w:val="6B15421B"/>
    <w:rsid w:val="6C0F6C0C"/>
    <w:rsid w:val="6C565EA8"/>
    <w:rsid w:val="75087E9E"/>
    <w:rsid w:val="78527FB9"/>
    <w:rsid w:val="78FF35AB"/>
    <w:rsid w:val="7CE3710A"/>
    <w:rsid w:val="7D0811D3"/>
    <w:rsid w:val="7EE8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2022-05-20T09:16:02Z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C7491D383B4346F2BAD1217F59A8421F</vt:lpwstr>
  </property>
</Properties>
</file>