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宋体" w:hAnsi="宋体" w:eastAsia="宋体" w:cs="宋体"/>
          <w:b w:val="0"/>
          <w:bCs w:val="0"/>
          <w:color w:val="auto"/>
          <w:sz w:val="36"/>
          <w:szCs w:val="36"/>
          <w:highlight w:val="none"/>
          <w:lang w:val="en-US" w:eastAsia="zh-CN"/>
        </w:rPr>
      </w:pPr>
      <w:r>
        <w:rPr>
          <w:rFonts w:hint="eastAsia" w:ascii="HoloLens MDL2 Assets" w:hAnsi="HoloLens MDL2 Assets" w:eastAsia="仿宋" w:cs="HoloLens MDL2 Assets"/>
          <w:b/>
          <w:bCs/>
          <w:color w:val="C00000"/>
          <w:sz w:val="52"/>
          <w:szCs w:val="52"/>
          <w:highlight w:val="none"/>
          <w:lang w:val="en-US" w:eastAsia="zh-CN"/>
        </w:rPr>
        <mc:AlternateContent>
          <mc:Choice Requires="wps">
            <w:drawing>
              <wp:anchor distT="0" distB="0" distL="114300" distR="114300" simplePos="0" relativeHeight="251712512" behindDoc="1" locked="0" layoutInCell="1" allowOverlap="1">
                <wp:simplePos x="0" y="0"/>
                <wp:positionH relativeFrom="column">
                  <wp:posOffset>-1249680</wp:posOffset>
                </wp:positionH>
                <wp:positionV relativeFrom="page">
                  <wp:posOffset>1531620</wp:posOffset>
                </wp:positionV>
                <wp:extent cx="38617525" cy="3175"/>
                <wp:effectExtent l="0" t="0" r="0" b="0"/>
                <wp:wrapNone/>
                <wp:docPr id="3" name="直接连接符 3"/>
                <wp:cNvGraphicFramePr/>
                <a:graphic xmlns:a="http://schemas.openxmlformats.org/drawingml/2006/main">
                  <a:graphicData uri="http://schemas.microsoft.com/office/word/2010/wordprocessingShape">
                    <wps:wsp>
                      <wps:cNvCnPr/>
                      <wps:spPr>
                        <a:xfrm>
                          <a:off x="0" y="0"/>
                          <a:ext cx="38617525" cy="3175"/>
                        </a:xfrm>
                        <a:prstGeom prst="line">
                          <a:avLst/>
                        </a:prstGeom>
                        <a:noFill/>
                        <a:ln w="190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margin-left:-98.4pt;margin-top:120.6pt;height:0.25pt;width:3040.75pt;mso-position-vertical-relative:page;z-index:-251603968;mso-width-relative:page;mso-height-relative:page;" filled="f" stroked="t" coordsize="21600,21600" o:gfxdata="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CoOfN4AAAANAQAADwAAAAAAAAAB&#10;ACAAAAAiAAAAZHJzL2Rvd25yZXYueG1sUEsBAhQAFAAAAAgAh07iQPL6cQ3RAQAAdgMAAA4AAAAA&#10;AAAAAQAgAAAALQEAAGRycy9lMm9Eb2MueG1sUEsFBgAAAAAGAAYAWQEAAHAFAAAAAA==&#10;">
                <v:fill on="f" focussize="0,0"/>
                <v:stroke weight="1.5pt" color="#C00000" miterlimit="8" joinstyle="miter"/>
                <v:imagedata o:title=""/>
                <o:lock v:ext="edit" aspectratio="f"/>
              </v:line>
            </w:pict>
          </mc:Fallback>
        </mc:AlternateContent>
      </w:r>
      <w:r>
        <w:rPr>
          <w:rFonts w:hint="eastAsia" w:ascii="HoloLens MDL2 Assets" w:hAnsi="HoloLens MDL2 Assets" w:eastAsia="仿宋" w:cs="HoloLens MDL2 Assets"/>
          <w:b/>
          <w:bCs/>
          <w:color w:val="C00000"/>
          <w:sz w:val="52"/>
          <w:szCs w:val="52"/>
          <w:highlight w:val="none"/>
          <w:lang w:val="en-US" w:eastAsia="zh-CN"/>
        </w:rPr>
        <mc:AlternateContent>
          <mc:Choice Requires="wps">
            <w:drawing>
              <wp:anchor distT="0" distB="0" distL="114300" distR="114300" simplePos="0" relativeHeight="251718656" behindDoc="0" locked="0" layoutInCell="1" allowOverlap="1">
                <wp:simplePos x="0" y="0"/>
                <wp:positionH relativeFrom="column">
                  <wp:posOffset>-1177290</wp:posOffset>
                </wp:positionH>
                <wp:positionV relativeFrom="page">
                  <wp:posOffset>1430020</wp:posOffset>
                </wp:positionV>
                <wp:extent cx="265788775" cy="22225"/>
                <wp:effectExtent l="0" t="28575" r="15875" b="44450"/>
                <wp:wrapNone/>
                <wp:docPr id="4" name="直接连接符 4"/>
                <wp:cNvGraphicFramePr/>
                <a:graphic xmlns:a="http://schemas.openxmlformats.org/drawingml/2006/main">
                  <a:graphicData uri="http://schemas.microsoft.com/office/word/2010/wordprocessingShape">
                    <wps:wsp>
                      <wps:cNvCnPr/>
                      <wps:spPr>
                        <a:xfrm flipV="1">
                          <a:off x="329565" y="1543050"/>
                          <a:ext cx="265788775" cy="22225"/>
                        </a:xfrm>
                        <a:prstGeom prst="line">
                          <a:avLst/>
                        </a:prstGeom>
                        <a:noFill/>
                        <a:ln w="571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flip:y;margin-left:-92.7pt;margin-top:112.6pt;height:1.75pt;width:20928.25pt;mso-position-vertical-relative:page;z-index:251718656;mso-width-relative:page;mso-height-relative:page;" filled="f" stroked="t" coordsize="21600,21600" o:gfxdata="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VI&#10;SrzcAAAADgEAAA8AAAAAAAAAAQAgAAAAIgAAAGRycy9kb3ducmV2LnhtbFBLAQIUABQAAAAIAIdO&#10;4kC/jgOx5gEAAI0DAAAOAAAAAAAAAAEAIAAAACsBAABkcnMvZTJvRG9jLnhtbFBLBQYAAAAABgAG&#10;AFkBAACDBQAAAAA=&#10;">
                <v:fill on="f" focussize="0,0"/>
                <v:stroke weight="4.5pt" color="#C00000" miterlimit="8" joinstyle="miter"/>
                <v:imagedata o:title=""/>
                <o:lock v:ext="edit" aspectratio="f"/>
              </v:line>
            </w:pict>
          </mc:Fallback>
        </mc:AlternateContent>
      </w:r>
      <w:r>
        <w:rPr>
          <w:rFonts w:hint="eastAsia" w:ascii="HoloLens MDL2 Assets" w:hAnsi="HoloLens MDL2 Assets" w:eastAsia="仿宋" w:cs="HoloLens MDL2 Assets"/>
          <w:b/>
          <w:bCs/>
          <w:color w:val="C00000"/>
          <w:sz w:val="52"/>
          <w:szCs w:val="52"/>
          <w:highlight w:val="none"/>
          <w:lang w:val="en-US" w:eastAsia="zh-CN"/>
        </w:rPr>
        <w:t xml:space="preserve">南平市劳动能力鉴定委员会 </w:t>
      </w:r>
      <w:r>
        <w:rPr>
          <w:rFonts w:hint="eastAsia" w:asciiTheme="minorEastAsia" w:hAnsiTheme="minorEastAsia" w:eastAsiaTheme="minorEastAsia" w:cstheme="minorEastAsia"/>
          <w:b/>
          <w:bCs/>
          <w:color w:val="C00000"/>
          <w:sz w:val="52"/>
          <w:szCs w:val="52"/>
          <w:highlight w:val="none"/>
          <w:lang w:val="en-US" w:eastAsia="zh-CN"/>
        </w:rPr>
        <w:t xml:space="preserve">  </w:t>
      </w:r>
      <w:r>
        <w:rPr>
          <w:rFonts w:hint="eastAsia" w:ascii="HoloLens MDL2 Assets" w:hAnsi="HoloLens MDL2 Assets" w:eastAsia="仿宋" w:cs="HoloLens MDL2 Assets"/>
          <w:b/>
          <w:bCs/>
          <w:color w:val="C00000"/>
          <w:sz w:val="52"/>
          <w:szCs w:val="52"/>
          <w:highlight w:val="none"/>
          <w:lang w:val="en-US" w:eastAsia="zh-CN"/>
        </w:rPr>
        <w:t xml:space="preserve">                                </w:t>
      </w:r>
      <w:r>
        <w:rPr>
          <w:rFonts w:hint="eastAsia" w:ascii="宋体" w:hAnsi="宋体" w:eastAsia="宋体" w:cs="宋体"/>
          <w:b w:val="0"/>
          <w:bCs w:val="0"/>
          <w:color w:val="auto"/>
          <w:sz w:val="36"/>
          <w:szCs w:val="36"/>
          <w:highlight w:val="none"/>
          <w:lang w:val="en-US" w:eastAsia="zh-CN"/>
        </w:rPr>
        <w:t>劳 动 能 力 鉴 定 结 论 书</w:t>
      </w:r>
    </w:p>
    <w:p>
      <w:pPr>
        <w:keepNext w:val="0"/>
        <w:keepLines w:val="0"/>
        <w:pageBreakBefore w:val="0"/>
        <w:widowControl w:val="0"/>
        <w:kinsoku/>
        <w:wordWrap/>
        <w:overflowPunct/>
        <w:topLinePunct w:val="0"/>
        <w:autoSpaceDE/>
        <w:autoSpaceDN/>
        <w:bidi w:val="0"/>
        <w:adjustRightInd/>
        <w:snapToGrid/>
        <w:spacing w:line="240" w:lineRule="atLeast"/>
        <w:jc w:val="right"/>
        <w:textAlignment w:val="auto"/>
        <w:rPr>
          <w:rFonts w:hint="eastAsia" w:ascii="宋体" w:hAnsi="宋体" w:eastAsia="宋体" w:cs="宋体"/>
          <w:b w:val="0"/>
          <w:bCs w:val="0"/>
          <w:color w:val="auto"/>
          <w:sz w:val="28"/>
          <w:szCs w:val="28"/>
          <w:highlight w:val="none"/>
          <w:lang w:val="en-US" w:eastAsia="zh-CN"/>
        </w:rPr>
      </w:pPr>
      <w:r>
        <w:rPr>
          <w:rFonts w:hint="eastAsia" w:ascii="宋体" w:hAnsi="宋体" w:eastAsia="宋体" w:cs="宋体"/>
          <w:b w:val="0"/>
          <w:bCs w:val="0"/>
          <w:color w:val="auto"/>
          <w:sz w:val="36"/>
          <w:szCs w:val="36"/>
          <w:highlight w:val="none"/>
          <w:lang w:val="en-US" w:eastAsia="zh-CN"/>
        </w:rPr>
        <w:t xml:space="preserve">    </w:t>
      </w:r>
      <w:r>
        <w:rPr>
          <w:rFonts w:hint="eastAsia" w:ascii="仿宋" w:hAnsi="仿宋" w:eastAsia="仿宋" w:cs="仿宋"/>
          <w:b w:val="0"/>
          <w:bCs w:val="0"/>
          <w:color w:val="auto"/>
          <w:sz w:val="30"/>
          <w:szCs w:val="30"/>
          <w:highlight w:val="none"/>
          <w:lang w:val="en-US" w:eastAsia="zh-CN"/>
        </w:rPr>
        <w:t>南劳鉴工字[{{year}}]第{{appraiseNumber}}号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被鉴定人：{{name}}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身份证号：{{idCart}}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用人单位：{{unit}}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伤残情况：{{resultSickCondition}}。</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Times New Roman"/>
          <w:sz w:val="32"/>
          <w:szCs w:val="32"/>
          <w:lang w:val="en-US" w:eastAsia="zh-CN"/>
        </w:rPr>
      </w:pPr>
      <w:r>
        <w:rPr>
          <w:rFonts w:hint="eastAsia" w:ascii="仿宋" w:hAnsi="仿宋" w:eastAsia="仿宋" w:cs="Times New Roman"/>
          <w:sz w:val="32"/>
          <w:szCs w:val="32"/>
          <w:lang w:val="en-US" w:eastAsia="zh-CN"/>
        </w:rPr>
        <w:t>根据《劳动能力鉴定职工工伤与职业病致残等级》国家标准，经劳动能力鉴定专家组鉴定，目前伤残情况：符合{{appraiseGrade}}，依据{{appraisePrinciple}}</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Times New Roman"/>
          <w:sz w:val="32"/>
          <w:szCs w:val="32"/>
          <w:lang w:val="en-US" w:eastAsia="zh-CN"/>
        </w:rPr>
      </w:pPr>
      <w:r>
        <w:rPr>
          <w:rFonts w:hint="eastAsia" w:ascii="仿宋" w:hAnsi="仿宋" w:eastAsia="仿宋" w:cs="Times New Roman"/>
          <w:sz w:val="32"/>
          <w:szCs w:val="32"/>
          <w:lang w:val="en-US" w:eastAsia="zh-CN"/>
        </w:rPr>
        <w:t>鉴定结论为：{{appraiseResult}}。</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Times New Roman"/>
          <w:sz w:val="32"/>
          <w:szCs w:val="32"/>
          <w:lang w:val="en-US" w:eastAsia="zh-CN"/>
        </w:rPr>
      </w:pPr>
      <w:r>
        <w:rPr>
          <w:rFonts w:hint="eastAsia" w:ascii="仿宋" w:hAnsi="仿宋" w:eastAsia="仿宋" w:cs="Times New Roman"/>
          <w:sz w:val="32"/>
          <w:szCs w:val="32"/>
          <w:lang w:val="en-US" w:eastAsia="zh-CN"/>
        </w:rPr>
        <w:t>申请鉴定的单位或者个人对我委作出的鉴定结论不服的，可以在收到该鉴定结论之日起15日内，由工伤（病）职工本人或委托人、或用人单位代表携带本结论和《工伤认定决定书》、有效的诊断检查等完整病历资料到省劳动能力鉴定委员会申请再次鉴定。（地址：福州市东大路36号12层，电话0591-87877753）</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ascii="Calibri" w:hAnsi="Calibri" w:eastAsia="宋体" w:cs="Times New Roman"/>
          <w:sz w:val="28"/>
          <w:szCs w:val="28"/>
        </w:rPr>
      </w:pPr>
      <w:r>
        <w:rPr>
          <w:rFonts w:ascii="Calibri" w:hAnsi="Calibri" w:eastAsia="宋体" w:cs="Times New Roman"/>
          <w:sz w:val="28"/>
          <w:szCs w:val="28"/>
        </w:rPr>
        <mc:AlternateContent>
          <mc:Choice Requires="wps">
            <w:drawing>
              <wp:anchor distT="0" distB="0" distL="114300" distR="114300" simplePos="0" relativeHeight="251709440" behindDoc="1" locked="0" layoutInCell="1" allowOverlap="1">
                <wp:simplePos x="0" y="0"/>
                <wp:positionH relativeFrom="column">
                  <wp:posOffset>-1158240</wp:posOffset>
                </wp:positionH>
                <wp:positionV relativeFrom="page">
                  <wp:posOffset>9982835</wp:posOffset>
                </wp:positionV>
                <wp:extent cx="8084820"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8084820" cy="635"/>
                        </a:xfrm>
                        <a:prstGeom prst="line">
                          <a:avLst/>
                        </a:prstGeom>
                        <a:noFill/>
                        <a:ln w="190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margin-left:-91.2pt;margin-top:786.05pt;height:0.05pt;width:636.6pt;mso-position-vertical-relative:page;z-index:-251607040;mso-width-relative:page;mso-height-relative:page;" filled="f" stroked="t" coordsize="21600,21600" o:gfxdata="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Cy2Q90AAAAPAQAADwAAAAAAAAABACAA&#10;AAAiAAAAZHJzL2Rvd25yZXYueG1sUEsBAhQAFAAAAAgAh07iQK3FbZLPAQAAdAMAAA4AAAAAAAAA&#10;AQAgAAAALAEAAGRycy9lMm9Eb2MueG1sUEsFBgAAAAAGAAYAWQEAAG0FAAAAAA==&#10;">
                <v:fill on="f" focussize="0,0"/>
                <v:stroke weight="1.5pt" color="#C00000" miterlimit="8" joinstyle="miter"/>
                <v:imagedata o:title=""/>
                <o:lock v:ext="edit" aspectratio="f"/>
              </v:line>
            </w:pict>
          </mc:Fallback>
        </mc:AlternateContent>
      </w:r>
      <w:bookmarkStart w:id="0" w:name="_GoBack"/>
      <w:r>
        <w:rPr>
          <w:rFonts w:ascii="Calibri" w:hAnsi="Calibri" w:eastAsia="宋体" w:cs="Times New Roman"/>
          <w:sz w:val="28"/>
          <w:szCs w:val="28"/>
        </w:rPr>
        <mc:AlternateContent>
          <mc:Choice Requires="wps">
            <w:drawing>
              <wp:anchor distT="0" distB="0" distL="114300" distR="114300" simplePos="0" relativeHeight="251705344" behindDoc="0" locked="0" layoutInCell="1" allowOverlap="1">
                <wp:simplePos x="0" y="0"/>
                <wp:positionH relativeFrom="column">
                  <wp:posOffset>-1266190</wp:posOffset>
                </wp:positionH>
                <wp:positionV relativeFrom="page">
                  <wp:posOffset>10058400</wp:posOffset>
                </wp:positionV>
                <wp:extent cx="16438880" cy="38735"/>
                <wp:effectExtent l="0" t="28575" r="1270" b="46990"/>
                <wp:wrapNone/>
                <wp:docPr id="6" name="直接连接符 6"/>
                <wp:cNvGraphicFramePr/>
                <a:graphic xmlns:a="http://schemas.openxmlformats.org/drawingml/2006/main">
                  <a:graphicData uri="http://schemas.microsoft.com/office/word/2010/wordprocessingShape">
                    <wps:wsp>
                      <wps:cNvCnPr/>
                      <wps:spPr>
                        <a:xfrm>
                          <a:off x="0" y="0"/>
                          <a:ext cx="16438880" cy="38735"/>
                        </a:xfrm>
                        <a:prstGeom prst="line">
                          <a:avLst/>
                        </a:prstGeom>
                        <a:noFill/>
                        <a:ln w="571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margin-left:-99.7pt;margin-top:792pt;height:3.05pt;width:1294.4pt;mso-position-vertical-relative:page;z-index:251705344;mso-width-relative:page;mso-height-relative:page;" filled="f" stroked="t" coordsize="21600,21600" o:gfxdata="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dnDve2wAAAA8BAAAPAAAAAAAAAAEA&#10;IAAAACIAAABkcnMvZG93bnJldi54bWxQSwECFAAUAAAACACHTuJAtdh2j9MBAAB3AwAADgAAAAAA&#10;AAABACAAAAAqAQAAZHJzL2Uyb0RvYy54bWxQSwUGAAAAAAYABgBZAQAAbwUAAAAA&#10;">
                <v:fill on="f" focussize="0,0"/>
                <v:stroke weight="4.5pt" color="#C00000" miterlimit="8" joinstyle="miter"/>
                <v:imagedata o:title=""/>
                <o:lock v:ext="edit" aspectratio="f"/>
              </v:line>
            </w:pict>
          </mc:Fallback>
        </mc:AlternateContent>
      </w:r>
      <w:bookmarkEnd w:id="0"/>
    </w:p>
    <w:p>
      <w:pPr>
        <w:spacing w:line="500" w:lineRule="exact"/>
        <w:ind w:firstLine="3200" w:firstLineChars="1000"/>
        <w:jc w:val="right"/>
        <w:rPr>
          <w:rFonts w:hint="eastAsia" w:ascii="宋体" w:hAnsi="宋体" w:eastAsia="宋体" w:cs="宋体"/>
          <w:b w:val="0"/>
          <w:bCs w:val="0"/>
          <w:color w:val="auto"/>
          <w:sz w:val="28"/>
          <w:szCs w:val="28"/>
          <w:highlight w:val="none"/>
          <w:lang w:val="en-US" w:eastAsia="zh-CN"/>
        </w:rPr>
      </w:pPr>
      <w:r>
        <w:rPr>
          <w:rFonts w:hint="eastAsia" w:ascii="仿宋" w:hAnsi="仿宋" w:eastAsia="仿宋" w:cs="宋体"/>
          <w:color w:val="000000"/>
          <w:kern w:val="0"/>
          <w:sz w:val="32"/>
          <w:szCs w:val="32"/>
          <w:lang w:val="en-US" w:eastAsia="zh-CN"/>
        </w:rPr>
        <w:t>福建省南平市劳动能力鉴定委员会</w:t>
      </w:r>
    </w:p>
    <w:p>
      <w:pPr>
        <w:spacing w:line="500" w:lineRule="exact"/>
        <w:ind w:firstLine="2800" w:firstLineChars="1000"/>
        <w:jc w:val="right"/>
        <w:rPr>
          <w:rFonts w:hint="eastAsia" w:ascii="仿宋" w:hAnsi="仿宋" w:eastAsia="仿宋" w:cs="宋体"/>
          <w:color w:val="000000"/>
          <w:kern w:val="0"/>
          <w:sz w:val="32"/>
          <w:szCs w:val="32"/>
          <w:lang w:val="en-US" w:eastAsia="zh-CN"/>
        </w:rPr>
      </w:pPr>
      <w:r>
        <w:rPr>
          <w:rFonts w:hint="eastAsia" w:ascii="宋体" w:hAnsi="宋体" w:eastAsia="宋体" w:cs="宋体"/>
          <w:b w:val="0"/>
          <w:bCs w:val="0"/>
          <w:color w:val="auto"/>
          <w:sz w:val="28"/>
          <w:szCs w:val="28"/>
          <w:highlight w:val="none"/>
          <w:lang w:val="en-US" w:eastAsia="zh-CN"/>
        </w:rPr>
        <w:t xml:space="preserve">    </w:t>
      </w:r>
      <w:r>
        <w:rPr>
          <w:rFonts w:hint="eastAsia" w:ascii="仿宋" w:hAnsi="仿宋" w:eastAsia="仿宋" w:cs="宋体"/>
          <w:color w:val="000000"/>
          <w:kern w:val="0"/>
          <w:sz w:val="32"/>
          <w:szCs w:val="32"/>
          <w:lang w:val="en-US" w:eastAsia="zh-CN"/>
        </w:rPr>
        <w:t>{{year}}年{{month}}月{{date}}日</w:t>
      </w:r>
    </w:p>
    <w:p>
      <w:pPr>
        <w:spacing w:line="500" w:lineRule="exact"/>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注：本鉴定结论通知书一式叁份，被鉴定人、社保经办机构、存档各一份。</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ascii="Calibri" w:hAnsi="Calibri" w:eastAsia="宋体" w:cs="Times New Roman"/>
          <w:sz w:val="28"/>
          <w:szCs w:val="28"/>
        </w:rPr>
      </w:pPr>
    </w:p>
    <w:sectPr>
      <w:pgSz w:w="11906" w:h="16838"/>
      <w:pgMar w:top="1440" w:right="1179" w:bottom="1440" w:left="1179"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oloLens MDL2 Assets">
    <w:panose1 w:val="050A0102010101010101"/>
    <w:charset w:val="00"/>
    <w:family w:val="auto"/>
    <w:pitch w:val="default"/>
    <w:sig w:usb0="00000000" w:usb1="1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168E"/>
    <w:rsid w:val="02143A03"/>
    <w:rsid w:val="047977BC"/>
    <w:rsid w:val="04CC5E6E"/>
    <w:rsid w:val="059B51ED"/>
    <w:rsid w:val="073C7D38"/>
    <w:rsid w:val="08D6349E"/>
    <w:rsid w:val="11C51C2D"/>
    <w:rsid w:val="11E735B4"/>
    <w:rsid w:val="1BA122E9"/>
    <w:rsid w:val="1D25298F"/>
    <w:rsid w:val="1D7743B9"/>
    <w:rsid w:val="236F363E"/>
    <w:rsid w:val="2B255A07"/>
    <w:rsid w:val="2EDF459F"/>
    <w:rsid w:val="2F14519D"/>
    <w:rsid w:val="2F4861AB"/>
    <w:rsid w:val="39E86E6D"/>
    <w:rsid w:val="3AB778D9"/>
    <w:rsid w:val="3B7B62D4"/>
    <w:rsid w:val="43CF2F9A"/>
    <w:rsid w:val="44957970"/>
    <w:rsid w:val="4BE7601A"/>
    <w:rsid w:val="4C983CD8"/>
    <w:rsid w:val="54CF15DB"/>
    <w:rsid w:val="54E456DE"/>
    <w:rsid w:val="594A059D"/>
    <w:rsid w:val="5CA90CA3"/>
    <w:rsid w:val="5D9B755B"/>
    <w:rsid w:val="601E04BD"/>
    <w:rsid w:val="63173032"/>
    <w:rsid w:val="67B621D0"/>
    <w:rsid w:val="6D870DA0"/>
    <w:rsid w:val="7BAD2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Administrator</cp:lastModifiedBy>
  <dcterms:modified xsi:type="dcterms:W3CDTF">2022-05-25T09:47:22Z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