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HoloLens MDL2 Assets" w:hAnsi="HoloLens MDL2 Assets" w:eastAsia="仿宋" w:cs="HoloLens MDL2 Assets"/>
          <w:b/>
          <w:bCs/>
          <w:color w:val="auto"/>
          <w:sz w:val="44"/>
          <w:szCs w:val="44"/>
          <w:highlight w:val="none"/>
          <w:lang w:val="en-US" w:eastAsia="zh-CN"/>
        </w:rPr>
      </w:pPr>
      <w:r>
        <w:rPr>
          <w:rFonts w:hint="eastAsia" w:ascii="仿宋" w:hAnsi="仿宋" w:eastAsia="仿宋" w:cs="Times New Roman"/>
          <w:spacing w:val="-20"/>
          <w:kern w:val="0"/>
          <w:sz w:val="44"/>
          <w:szCs w:val="44"/>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HoloLens MDL2 Assets" w:hAnsi="HoloLens MDL2 Assets" w:eastAsia="仿宋" w:cs="HoloLens MDL2 Assets"/>
          <w:b w:val="0"/>
          <w:bCs w:val="0"/>
          <w:color w:val="auto"/>
          <w:sz w:val="30"/>
          <w:szCs w:val="30"/>
          <w:highlight w:val="none"/>
          <w:lang w:val="en-US" w:eastAsia="zh-CN"/>
        </w:rPr>
        <w:t xml:space="preserve">            南劳鉴病字</w:t>
      </w:r>
      <w:r>
        <w:rPr>
          <w:rFonts w:hint="eastAsia" w:ascii="仿宋" w:hAnsi="仿宋" w:eastAsia="仿宋" w:cs="Times New Roman"/>
          <w:sz w:val="32"/>
          <w:szCs w:val="32"/>
        </w:rPr>
        <w:t>[{{year}}]</w:t>
      </w:r>
      <w:r>
        <w:rPr>
          <w:rFonts w:hint="eastAsia" w:ascii="仿宋" w:hAnsi="仿宋" w:eastAsia="仿宋" w:cs="仿宋"/>
          <w:b w:val="0"/>
          <w:bCs w:val="0"/>
          <w:color w:val="auto"/>
          <w:sz w:val="30"/>
          <w:szCs w:val="30"/>
          <w:highlight w:val="none"/>
          <w:lang w:val="en-US" w:eastAsia="zh-CN"/>
        </w:rPr>
        <w:t>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依据劳动和社会保障部《职工非因工伤残或因病丧失劳动能力程度鉴定标准（试行）》的通知（劳社部发［2002］8号）标准，经劳动能力鉴定专家组鉴定，病残情况为：{{sickCondition}}，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本鉴定结论作出之日起1年后，用人单位、个人或社保经办机构认为病伤残情况发生变化的，可以申请劳动能力复查鉴定。</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仿宋" w:hAnsi="仿宋" w:eastAsia="仿宋" w:cs="宋体"/>
          <w:color w:val="000000"/>
          <w:kern w:val="0"/>
          <w:sz w:val="32"/>
          <w:szCs w:val="32"/>
          <w:lang w:val="en-US" w:eastAsia="zh-CN"/>
        </w:rPr>
      </w:pPr>
    </w:p>
    <w:p>
      <w:pPr>
        <w:spacing w:line="500" w:lineRule="exact"/>
        <w:ind w:firstLine="3200" w:firstLineChars="1000"/>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w:t>
      </w:r>
      <w:bookmarkStart w:id="0" w:name="_GoBack"/>
      <w:bookmarkEnd w:id="0"/>
      <w:r>
        <w:rPr>
          <w:rFonts w:hint="eastAsia" w:ascii="仿宋" w:hAnsi="仿宋" w:eastAsia="仿宋" w:cs="宋体"/>
          <w:color w:val="000000"/>
          <w:kern w:val="0"/>
          <w:sz w:val="32"/>
          <w:szCs w:val="32"/>
          <w:lang w:val="en-US" w:eastAsia="zh-CN"/>
        </w:rPr>
        <w:t>式叁份，被鉴定人、社保经办机构、存档各一份。</w:t>
      </w:r>
    </w:p>
    <w:sectPr>
      <w:pgSz w:w="11906" w:h="16838"/>
      <w:pgMar w:top="2721" w:right="1800" w:bottom="1440" w:left="1800" w:header="851" w:footer="992" w:gutter="0"/>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BA4A71"/>
    <w:rsid w:val="02E57498"/>
    <w:rsid w:val="08042D9F"/>
    <w:rsid w:val="0E303C02"/>
    <w:rsid w:val="129B39F4"/>
    <w:rsid w:val="15571446"/>
    <w:rsid w:val="18E43221"/>
    <w:rsid w:val="21042342"/>
    <w:rsid w:val="287A0184"/>
    <w:rsid w:val="294C7A98"/>
    <w:rsid w:val="2F4861AB"/>
    <w:rsid w:val="3216469A"/>
    <w:rsid w:val="342F3FAE"/>
    <w:rsid w:val="36052489"/>
    <w:rsid w:val="37AD4765"/>
    <w:rsid w:val="39DE2829"/>
    <w:rsid w:val="3B1738D0"/>
    <w:rsid w:val="43B75C50"/>
    <w:rsid w:val="44F30C85"/>
    <w:rsid w:val="491C6786"/>
    <w:rsid w:val="4B0E2324"/>
    <w:rsid w:val="4CBF1B18"/>
    <w:rsid w:val="4F511C17"/>
    <w:rsid w:val="505A2609"/>
    <w:rsid w:val="51DB26D3"/>
    <w:rsid w:val="576444D7"/>
    <w:rsid w:val="5C8A2690"/>
    <w:rsid w:val="5D9D10C8"/>
    <w:rsid w:val="5E4D369A"/>
    <w:rsid w:val="63173032"/>
    <w:rsid w:val="63B25A5D"/>
    <w:rsid w:val="6536092D"/>
    <w:rsid w:val="66FF35EF"/>
    <w:rsid w:val="67650930"/>
    <w:rsid w:val="680F38E0"/>
    <w:rsid w:val="68AC4D8B"/>
    <w:rsid w:val="6A5001A6"/>
    <w:rsid w:val="6B15421B"/>
    <w:rsid w:val="6C0F6C0C"/>
    <w:rsid w:val="6C565EA8"/>
    <w:rsid w:val="78527FB9"/>
    <w:rsid w:val="78FF35AB"/>
    <w:rsid w:val="7D08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2022-05-20T09:25:31Z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C7491D383B4346F2BAD1217F59A8421F</vt:lpwstr>
  </property>
</Properties>
</file>