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4E79"/>
          <w:sz w:val="56"/>
          <w:szCs w:val="56"/>
        </w:rPr>
        <w:t xml:space="preserve">谷子周边业务 1-7 月经营分析报告</w:t>
      </w:r>
    </w:p>
    <w:p>
      <w:pPr>
        <w:spacing w:after="120"/>
        <w:jc w:val="center"/>
      </w:pPr>
      <w:r>
        <w:rPr>
          <w:color w:val="5B9BD5"/>
          <w:sz w:val="32"/>
          <w:szCs w:val="32"/>
        </w:rPr>
        <w:t xml:space="preserve">—— 品类 × 平台交叉维度（优化版）</w:t>
      </w:r>
    </w:p>
    <w:p>
      <w:pPr>
        <w:spacing w:after="200"/>
        <w:jc w:val="center"/>
      </w:pPr>
      <w:r>
        <w:rPr>
          <w:color w:val="7F9CC0"/>
          <w:sz w:val="22"/>
          <w:szCs w:val="22"/>
        </w:rPr>
        <w:t xml:space="preserve">基于《周边业务-经营利润表（1-7月）》全量数据核验</w:t>
      </w:r>
    </w:p>
    <w:p>
      <w:pPr>
        <w:spacing w:after="60"/>
        <w:jc w:val="center"/>
      </w:pPr>
      <w:r>
        <w:rPr>
          <w:color w:val="7F9CC0"/>
          <w:sz w:val="20"/>
          <w:szCs w:val="20"/>
        </w:rPr>
        <w:t xml:space="preserve">数据口径：GMV / 净销售额 / 税后净利　·　分析周期：2026 年 1-7 月</w:t>
      </w:r>
    </w:p>
    <w:p>
      <w:pPr>
        <w:pStyle w:val="Heading1"/>
      </w:pPr>
      <w:r>
        <w:rPr>
          <w:color w:val="1F4E79"/>
        </w:rPr>
        <w:t xml:space="preserve">核心指标总览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指标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数值</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说明</w:t>
            </w:r>
          </w:p>
        </w:tc>
      </w:tr>
      <w:tr>
        <w:trPr>
          <w:tblHeader w:val="false"/>
        </w:trPr>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累计 GMV</w:t>
            </w:r>
          </w:p>
        </w:tc>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951.3 万元</w:t>
            </w:r>
          </w:p>
        </w:tc>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1-7 月合计；7 月环比 -29.0%</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净销售额</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846.4 万元</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扣退款后；退款率 11.0%</w:t>
            </w:r>
          </w:p>
        </w:tc>
      </w:tr>
      <w:tr>
        <w:trPr>
          <w:tblHeader w:val="false"/>
        </w:trPr>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税后净利</w:t>
            </w:r>
          </w:p>
        </w:tc>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423.9 万元</w:t>
            </w:r>
          </w:p>
        </w:tc>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扣增值税及附加、企业所得税、印花税</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综合毛利率</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59.3%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毛利 502.1 万元</w:t>
            </w:r>
          </w:p>
        </w:tc>
      </w:tr>
      <w:tr>
        <w:trPr>
          <w:tblHeader w:val="false"/>
        </w:trPr>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综合净利率</w:t>
            </w:r>
          </w:p>
        </w:tc>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50.1%</w:t>
            </w:r>
          </w:p>
        </w:tc>
        <w:tc>
          <w:tcPr>
            <w:tcBorders>
              <w:top w:val="single" w:color="BFD3EA" w:sz="4"/>
              <w:left w:val="single" w:color="BFD3EA" w:sz="4"/>
              <w:bottom w:val="single" w:color="BFD3EA" w:sz="4"/>
              <w:right w:val="single" w:color="BFD3EA" w:sz="4"/>
            </w:tcBorders>
            <w:shd w:fill="F2F7FC"/>
            <w:tcMar>
              <w:top w:type="dxa" w:w="60"/>
              <w:left w:type="dxa" w:w="100"/>
              <w:bottom w:type="dxa" w:w="60"/>
              <w:right w:type="dxa" w:w="100"/>
            </w:tcMar>
          </w:tcPr>
          <w:p>
            <w:pPr>
              <w:spacing w:after="0"/>
            </w:pPr>
            <w:r>
              <w:rPr>
                <w:b w:val="false"/>
                <w:bCs w:val="false"/>
                <w:color w:val="2C4A73"/>
                <w:sz w:val="19"/>
                <w:szCs w:val="19"/>
              </w:rPr>
              <w:t xml:space="preserve">税后净利 / 净销售额</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销量 / 动销 SKU</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27.7 万件 / 559 个</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平均客单约 34 元</w:t>
            </w:r>
          </w:p>
        </w:tc>
      </w:tr>
    </w:tbl>
    <w:p>
      <w:pPr>
        <w:pStyle w:val="Heading1"/>
      </w:pPr>
      <w:r>
        <w:rPr>
          <w:color w:val="1F4E79"/>
        </w:rPr>
        <w:t xml:space="preserve">一句话结论</w:t>
      </w:r>
    </w:p>
    <w:p>
      <w:pPr>
        <w:shd w:fill="E8F0FA"/>
        <w:spacing w:after="120" w:line="300"/>
      </w:pPr>
      <w:r>
        <w:rPr>
          <w:b w:val="false"/>
          <w:bCs w:val="false"/>
          <w:color w:val="1F3A5F"/>
          <w:sz w:val="22"/>
          <w:szCs w:val="22"/>
        </w:rPr>
        <w:t xml:space="preserve">1-7 月累计实现 GMV </w:t>
      </w:r>
      <w:r>
        <w:rPr>
          <w:b/>
          <w:bCs/>
          <w:color w:val="1F3A5F"/>
          <w:sz w:val="22"/>
          <w:szCs w:val="22"/>
        </w:rPr>
        <w:t xml:space="preserve">951.3 万元</w:t>
      </w:r>
      <w:r>
        <w:rPr>
          <w:b w:val="false"/>
          <w:bCs w:val="false"/>
          <w:color w:val="1F3A5F"/>
          <w:sz w:val="22"/>
          <w:szCs w:val="22"/>
        </w:rPr>
        <w:t xml:space="preserve">、税后净利 </w:t>
      </w:r>
      <w:r>
        <w:rPr>
          <w:b/>
          <w:bCs/>
          <w:color w:val="1F3A5F"/>
          <w:sz w:val="22"/>
          <w:szCs w:val="22"/>
        </w:rPr>
        <w:t xml:space="preserve">423.9 万元</w:t>
      </w:r>
      <w:r>
        <w:rPr>
          <w:b w:val="false"/>
          <w:bCs w:val="false"/>
          <w:color w:val="1F3A5F"/>
          <w:sz w:val="22"/>
          <w:szCs w:val="22"/>
        </w:rPr>
        <w:t xml:space="preserve">、综合净利率 </w:t>
      </w:r>
      <w:r>
        <w:rPr>
          <w:b/>
          <w:bCs/>
          <w:color w:val="1F3A5F"/>
          <w:sz w:val="22"/>
          <w:szCs w:val="22"/>
        </w:rPr>
        <w:t xml:space="preserve">50.1%</w:t>
      </w:r>
      <w:r>
        <w:rPr>
          <w:b w:val="false"/>
          <w:bCs w:val="false"/>
          <w:color w:val="1F3A5F"/>
          <w:sz w:val="22"/>
          <w:szCs w:val="22"/>
        </w:rPr>
        <w:t xml:space="preserve">，盈利质量健康；但 7 月环比下滑 29.0%、二季度净利率连续走弱，主要由金属书签新年爆品红利消退、文具本册全平台净利率骤降与盲盒福袋等高退款品类放量三重因素叠加所致，结构优化空间明确。</w:t>
      </w:r>
    </w:p>
    <w:p>
      <w:pPr>
        <w:pStyle w:val="Heading1"/>
        <w:spacing w:before="400"/>
      </w:pPr>
      <w:r>
        <w:rPr>
          <w:color w:val="1F4E79"/>
        </w:rPr>
        <w:t xml:space="preserve">一、可视化图表</w:t>
      </w:r>
    </w:p>
    <w:p>
      <w:pPr>
        <w:spacing w:after="60" w:before="240"/>
      </w:pPr>
      <w:r>
        <w:rPr>
          <w:b/>
          <w:bCs/>
          <w:color w:val="2E75B6"/>
          <w:sz w:val="24"/>
          <w:szCs w:val="24"/>
        </w:rPr>
        <w:t xml:space="preserve">图1 月度 GMV 与税后净利趋势（1-7 月）</w:t>
      </w:r>
    </w:p>
    <w:p>
      <w:pPr>
        <w:spacing w:after="80"/>
      </w:pPr>
      <w:r>
        <w:rPr>
          <w:i/>
          <w:iCs/>
          <w:color w:val="7F9CC0"/>
          <w:sz w:val="18"/>
          <w:szCs w:val="18"/>
        </w:rPr>
        <w:t xml:space="preserve">柱形：GMV（万元）｜折线：净利率（%）</w:t>
      </w:r>
    </w:p>
    <w:p>
      <w:pPr>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52725"/>
                    </a:xfrm>
                    <a:prstGeom prst="rect">
                      <a:avLst/>
                    </a:prstGeom>
                  </pic:spPr>
                </pic:pic>
              </a:graphicData>
            </a:graphic>
          </wp:inline>
        </w:drawing>
      </w:r>
    </w:p>
    <w:p>
      <w:pPr>
        <w:spacing w:after="60" w:before="240"/>
      </w:pPr>
      <w:r>
        <w:rPr>
          <w:b/>
          <w:bCs/>
          <w:color w:val="2E75B6"/>
          <w:sz w:val="24"/>
          <w:szCs w:val="24"/>
        </w:rPr>
        <w:t xml:space="preserve">图2 品类净销售额结构（Top 13）</w:t>
      </w:r>
    </w:p>
    <w:p>
      <w:pPr>
        <w:spacing w:after="80"/>
      </w:pPr>
      <w:r>
        <w:rPr>
          <w:i/>
          <w:iCs/>
          <w:color w:val="7F9CC0"/>
          <w:sz w:val="18"/>
          <w:szCs w:val="18"/>
        </w:rPr>
        <w:t xml:space="preserve">横条长度=净销售额（万元）｜右侧数值=净利率（%）</w:t>
      </w:r>
    </w:p>
    <w:p>
      <w:pPr>
        <w:jc w:val="center"/>
      </w:pPr>
      <w:r>
        <w:drawing>
          <wp:inline distT="0" distB="0" distL="0" distR="0">
            <wp:extent cx="5715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62325"/>
                    </a:xfrm>
                    <a:prstGeom prst="rect">
                      <a:avLst/>
                    </a:prstGeom>
                  </pic:spPr>
                </pic:pic>
              </a:graphicData>
            </a:graphic>
          </wp:inline>
        </w:drawing>
      </w:r>
    </w:p>
    <w:p>
      <w:pPr>
        <w:spacing w:after="60" w:before="240"/>
      </w:pPr>
      <w:r>
        <w:rPr>
          <w:b/>
          <w:bCs/>
          <w:color w:val="2E75B6"/>
          <w:sz w:val="24"/>
          <w:szCs w:val="24"/>
        </w:rPr>
        <w:t xml:space="preserve">图3 平台 GMV 占比与净利率</w:t>
      </w:r>
    </w:p>
    <w:p>
      <w:pPr>
        <w:spacing w:after="80"/>
      </w:pPr>
      <w:r>
        <w:rPr>
          <w:i/>
          <w:iCs/>
          <w:color w:val="7F9CC0"/>
          <w:sz w:val="18"/>
          <w:szCs w:val="18"/>
        </w:rPr>
        <w:t xml:space="preserve">环形：GMV 占比｜下方列表：净利率（%）</w:t>
      </w:r>
    </w:p>
    <w:p>
      <w:pPr>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62300"/>
                    </a:xfrm>
                    <a:prstGeom prst="rect">
                      <a:avLst/>
                    </a:prstGeom>
                  </pic:spPr>
                </pic:pic>
              </a:graphicData>
            </a:graphic>
          </wp:inline>
        </w:drawing>
      </w:r>
    </w:p>
    <w:p>
      <w:pPr>
        <w:spacing w:after="60" w:before="240"/>
      </w:pPr>
      <w:r>
        <w:rPr>
          <w:b/>
          <w:bCs/>
          <w:color w:val="2E75B6"/>
          <w:sz w:val="24"/>
          <w:szCs w:val="24"/>
        </w:rPr>
        <w:t xml:space="preserve">图4 品类 × 平台 净利率热力图（%）</w:t>
      </w:r>
    </w:p>
    <w:p>
      <w:pPr>
        <w:spacing w:after="80"/>
      </w:pPr>
      <w:r>
        <w:rPr>
          <w:i/>
          <w:iCs/>
          <w:color w:val="7F9CC0"/>
          <w:sz w:val="18"/>
          <w:szCs w:val="18"/>
        </w:rPr>
        <w:t xml:space="preserve">颜色越深=净利率越高；灰色=无销售</w:t>
      </w:r>
    </w:p>
    <w:p>
      <w:pPr>
        <w:jc w:val="center"/>
      </w:pPr>
      <w:r>
        <w:drawing>
          <wp:inline distT="0" distB="0" distL="0" distR="0">
            <wp:extent cx="5715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67100"/>
                    </a:xfrm>
                    <a:prstGeom prst="rect">
                      <a:avLst/>
                    </a:prstGeom>
                  </pic:spPr>
                </pic:pic>
              </a:graphicData>
            </a:graphic>
          </wp:inline>
        </w:drawing>
      </w:r>
    </w:p>
    <w:p>
      <w:pPr>
        <w:spacing w:after="60" w:before="240"/>
      </w:pPr>
      <w:r>
        <w:rPr>
          <w:b/>
          <w:bCs/>
          <w:color w:val="2E75B6"/>
          <w:sz w:val="24"/>
          <w:szCs w:val="24"/>
        </w:rPr>
        <w:t xml:space="preserve">图5 月度品类结构变化（净销售额占比 %）</w:t>
      </w:r>
    </w:p>
    <w:p>
      <w:pPr>
        <w:spacing w:after="80"/>
      </w:pPr>
      <w:r>
        <w:rPr>
          <w:i/>
          <w:iCs/>
          <w:color w:val="7F9CC0"/>
          <w:sz w:val="18"/>
          <w:szCs w:val="18"/>
        </w:rPr>
        <w:t xml:space="preserve">金属书签 Q1 占 25.5% → Q2 0.3%；图书基本持平；盲盒福袋 Q2 爆发</w:t>
      </w:r>
    </w:p>
    <w:p>
      <w:pPr>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47925"/>
                    </a:xfrm>
                    <a:prstGeom prst="rect">
                      <a:avLst/>
                    </a:prstGeom>
                  </pic:spPr>
                </pic:pic>
              </a:graphicData>
            </a:graphic>
          </wp:inline>
        </w:drawing>
      </w:r>
    </w:p>
    <w:p>
      <w:pPr>
        <w:spacing w:after="60" w:before="240"/>
      </w:pPr>
      <w:r>
        <w:rPr>
          <w:b/>
          <w:bCs/>
          <w:color w:val="2E75B6"/>
          <w:sz w:val="24"/>
          <w:szCs w:val="24"/>
        </w:rPr>
        <w:t xml:space="preserve">图6 毛绒团子挂件 · 分平台 GMV（万元）</w:t>
      </w:r>
    </w:p>
    <w:p>
      <w:pPr>
        <w:spacing w:after="80"/>
      </w:pPr>
      <w:r>
        <w:rPr>
          <w:i/>
          <w:iCs/>
          <w:color w:val="7F9CC0"/>
          <w:sz w:val="18"/>
          <w:szCs w:val="18"/>
        </w:rPr>
        <w:t xml:space="preserve">全平台 GMV 56.8 万，占挂件品类 62.5%｜净利率 50.3%</w:t>
      </w:r>
    </w:p>
    <w:p>
      <w:pPr>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33725"/>
                    </a:xfrm>
                    <a:prstGeom prst="rect">
                      <a:avLst/>
                    </a:prstGeom>
                  </pic:spPr>
                </pic:pic>
              </a:graphicData>
            </a:graphic>
          </wp:inline>
        </w:drawing>
      </w:r>
    </w:p>
    <w:p>
      <w:pPr>
        <w:spacing w:after="60" w:before="240"/>
      </w:pPr>
      <w:r>
        <w:rPr>
          <w:b/>
          <w:bCs/>
          <w:color w:val="2E75B6"/>
          <w:sz w:val="24"/>
          <w:szCs w:val="24"/>
        </w:rPr>
        <w:t xml:space="preserve">图7 税后净利 TOP/BOTTOM 品类-平台组合（万元）</w:t>
      </w:r>
    </w:p>
    <w:p>
      <w:pPr>
        <w:spacing w:after="80"/>
      </w:pPr>
      <w:r>
        <w:rPr>
          <w:i/>
          <w:iCs/>
          <w:color w:val="7F9CC0"/>
          <w:sz w:val="18"/>
          <w:szCs w:val="18"/>
        </w:rPr>
        <w:t xml:space="preserve">蓝色为盈利 TOP10，红色为亏损/垫底组合</w:t>
      </w:r>
    </w:p>
    <w:p>
      <w:pPr>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33725"/>
                    </a:xfrm>
                    <a:prstGeom prst="rect">
                      <a:avLst/>
                    </a:prstGeom>
                  </pic:spPr>
                </pic:pic>
              </a:graphicData>
            </a:graphic>
          </wp:inline>
        </w:drawing>
      </w:r>
    </w:p>
    <w:p>
      <w:pPr>
        <w:spacing w:after="60" w:before="240"/>
      </w:pPr>
      <w:r>
        <w:rPr>
          <w:b/>
          <w:bCs/>
          <w:color w:val="2E75B6"/>
          <w:sz w:val="24"/>
          <w:szCs w:val="24"/>
        </w:rPr>
        <w:t xml:space="preserve">图8 Q1 → Q2 净利率变化：恶化 Top8 与改善 Top5（百分点）</w:t>
      </w:r>
    </w:p>
    <w:p>
      <w:pPr>
        <w:spacing w:after="80"/>
      </w:pPr>
      <w:r>
        <w:rPr>
          <w:i/>
          <w:iCs/>
          <w:color w:val="7F9CC0"/>
          <w:sz w:val="18"/>
          <w:szCs w:val="18"/>
        </w:rPr>
        <w:t xml:space="preserve">文具本册多平台净利率 Q2 明显恶化</w:t>
      </w:r>
    </w:p>
    <w:p>
      <w:pPr>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60" w:before="240"/>
      </w:pPr>
      <w:r>
        <w:rPr>
          <w:b/>
          <w:bCs/>
          <w:color w:val="2E75B6"/>
          <w:sz w:val="24"/>
          <w:szCs w:val="24"/>
        </w:rPr>
        <w:t xml:space="preserve">图9 IP / 角色 GMV Top10（万元）</w:t>
      </w:r>
    </w:p>
    <w:p>
      <w:pPr>
        <w:spacing w:after="80"/>
      </w:pPr>
      <w:r>
        <w:rPr>
          <w:i/>
          <w:iCs/>
          <w:color w:val="7F9CC0"/>
          <w:sz w:val="18"/>
          <w:szCs w:val="18"/>
        </w:rPr>
        <w:t xml:space="preserve">TOP5 IP 占 GMV 32.4%，TOP10 占 54.0%</w:t>
      </w:r>
    </w:p>
    <w:p>
      <w:pPr>
        <w:jc w:val="center"/>
      </w:pPr>
      <w:r>
        <w:drawing>
          <wp:inline distT="0" distB="0" distL="0" distR="0">
            <wp:extent cx="5715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62325"/>
                    </a:xfrm>
                    <a:prstGeom prst="rect">
                      <a:avLst/>
                    </a:prstGeom>
                  </pic:spPr>
                </pic:pic>
              </a:graphicData>
            </a:graphic>
          </wp:inline>
        </w:drawing>
      </w:r>
    </w:p>
    <w:p>
      <w:pPr>
        <w:spacing w:after="60" w:before="240"/>
      </w:pPr>
      <w:r>
        <w:rPr>
          <w:b/>
          <w:bCs/>
          <w:color w:val="2E75B6"/>
          <w:sz w:val="24"/>
          <w:szCs w:val="24"/>
        </w:rPr>
        <w:t xml:space="preserve">图10 金属书签月度 GMV：2 月爆发后断崖（万元）</w:t>
      </w:r>
    </w:p>
    <w:p>
      <w:pPr>
        <w:spacing w:after="80"/>
      </w:pPr>
      <w:r>
        <w:rPr>
          <w:i/>
          <w:iCs/>
          <w:color w:val="7F9CC0"/>
          <w:sz w:val="18"/>
          <w:szCs w:val="18"/>
        </w:rPr>
        <w:t xml:space="preserve">2 月「跃马鸣霄」新年限定书签系列贡献 69.7 万，占当月 GMV 42.3%</w:t>
      </w:r>
    </w:p>
    <w:p>
      <w:pPr>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86050"/>
                    </a:xfrm>
                    <a:prstGeom prst="rect">
                      <a:avLst/>
                    </a:prstGeom>
                  </pic:spPr>
                </pic:pic>
              </a:graphicData>
            </a:graphic>
          </wp:inline>
        </w:drawing>
      </w:r>
    </w:p>
    <w:p>
      <w:pPr>
        <w:pStyle w:val="Heading1"/>
        <w:spacing w:before="400"/>
      </w:pPr>
      <w:r>
        <w:rPr>
          <w:color w:val="1F4E79"/>
        </w:rPr>
        <w:t xml:space="preserve">二、数据解读</w:t>
      </w:r>
    </w:p>
    <w:p>
      <w:pPr>
        <w:pStyle w:val="Heading3"/>
        <w:spacing w:after="140" w:before="280"/>
      </w:pPr>
      <w:r>
        <w:rPr>
          <w:b/>
          <w:bCs/>
          <w:color w:val="2E75B6"/>
          <w:sz w:val="28"/>
          <w:szCs w:val="28"/>
        </w:rPr>
        <w:t xml:space="preserve">2.1 经营总览：高毛利、高净利，盈利质量健康</w:t>
      </w:r>
    </w:p>
    <w:p>
      <w:pPr>
        <w:spacing w:after="120" w:line="300"/>
      </w:pPr>
      <w:r>
        <w:rPr>
          <w:b w:val="false"/>
          <w:bCs w:val="false"/>
          <w:color w:val="1F3A5F"/>
          <w:sz w:val="22"/>
          <w:szCs w:val="22"/>
        </w:rPr>
        <w:t xml:space="preserve">1-7 月累计 </w:t>
      </w:r>
      <w:r>
        <w:rPr>
          <w:b/>
          <w:bCs/>
          <w:color w:val="1F3A5F"/>
          <w:sz w:val="22"/>
          <w:szCs w:val="22"/>
        </w:rPr>
        <w:t xml:space="preserve">GMV 951.3 万元</w:t>
      </w:r>
      <w:r>
        <w:rPr>
          <w:b w:val="false"/>
          <w:bCs w:val="false"/>
          <w:color w:val="1F3A5F"/>
          <w:sz w:val="22"/>
          <w:szCs w:val="22"/>
        </w:rPr>
        <w:t xml:space="preserve">，退款 104.8 万元（退款率 11.0%），净销售额 </w:t>
      </w:r>
      <w:r>
        <w:rPr>
          <w:b/>
          <w:bCs/>
          <w:color w:val="1F3A5F"/>
          <w:sz w:val="22"/>
          <w:szCs w:val="22"/>
        </w:rPr>
        <w:t xml:space="preserve">846.4 万元</w:t>
      </w:r>
      <w:r>
        <w:rPr>
          <w:b w:val="false"/>
          <w:bCs w:val="false"/>
          <w:color w:val="1F3A5F"/>
          <w:sz w:val="22"/>
          <w:szCs w:val="22"/>
        </w:rPr>
        <w:t xml:space="preserve">；实现毛利 </w:t>
      </w:r>
      <w:r>
        <w:rPr>
          <w:b/>
          <w:bCs/>
          <w:color w:val="1F3A5F"/>
          <w:sz w:val="22"/>
          <w:szCs w:val="22"/>
        </w:rPr>
        <w:t xml:space="preserve">502.1 万元</w:t>
      </w:r>
      <w:r>
        <w:rPr>
          <w:b w:val="false"/>
          <w:bCs w:val="false"/>
          <w:color w:val="1F3A5F"/>
          <w:sz w:val="22"/>
          <w:szCs w:val="22"/>
        </w:rPr>
        <w:t xml:space="preserve">（毛利率 59.3%），扣减增值税及附加、企业所得税、印花税后，税后净利 </w:t>
      </w:r>
      <w:r>
        <w:rPr>
          <w:b/>
          <w:bCs/>
          <w:color w:val="1F3A5F"/>
          <w:sz w:val="22"/>
          <w:szCs w:val="22"/>
        </w:rPr>
        <w:t xml:space="preserve">423.9 万元</w:t>
      </w:r>
      <w:r>
        <w:rPr>
          <w:b w:val="false"/>
          <w:bCs w:val="false"/>
          <w:color w:val="1F3A5F"/>
          <w:sz w:val="22"/>
          <w:szCs w:val="22"/>
        </w:rPr>
        <w:t xml:space="preserve">，综合净利率 </w:t>
      </w:r>
      <w:r>
        <w:rPr>
          <w:b/>
          <w:bCs/>
          <w:color w:val="1F3A5F"/>
          <w:sz w:val="22"/>
          <w:szCs w:val="22"/>
        </w:rPr>
        <w:t xml:space="preserve">50.1%</w:t>
      </w:r>
      <w:r>
        <w:rPr>
          <w:b w:val="false"/>
          <w:bCs w:val="false"/>
          <w:color w:val="1F3A5F"/>
          <w:sz w:val="22"/>
          <w:szCs w:val="22"/>
        </w:rPr>
        <w:t xml:space="preserve">。累计销售 27.7 万件，动销 SKU 559 个。</w:t>
      </w:r>
    </w:p>
    <w:p>
      <w:pPr>
        <w:shd w:fill="D5EDD9"/>
        <w:spacing w:after="120" w:line="300"/>
      </w:pPr>
      <w:r>
        <w:rPr>
          <w:b w:val="false"/>
          <w:bCs w:val="false"/>
          <w:color w:val="1F3A5F"/>
          <w:sz w:val="22"/>
          <w:szCs w:val="22"/>
        </w:rPr>
        <w:t xml:space="preserve">
        综合毛利率 59.3% 叠加净利率 50.1%，处于周边/谷子品类中的优秀水平。税负（增值税及附加+企业所得税+印花税）合计约 78 万元，占净销售额约 9.2%。
      </w:t>
      </w:r>
    </w:p>
    <w:p>
      <w:pPr>
        <w:spacing w:after="120" w:line="300"/>
      </w:pPr>
      <w:r>
        <w:rPr>
          <w:b w:val="false"/>
          <w:bCs w:val="false"/>
          <w:color w:val="1F3A5F"/>
          <w:sz w:val="22"/>
          <w:szCs w:val="22"/>
        </w:rPr>
        <w:t xml:space="preserve">从品类分布看，</w:t>
      </w:r>
      <w:r>
        <w:rPr>
          <w:b/>
          <w:bCs/>
          <w:color w:val="1F3A5F"/>
          <w:sz w:val="22"/>
          <w:szCs w:val="22"/>
        </w:rPr>
        <w:t xml:space="preserve">图书（净销售 168.5 万，占 19.9%）是第一大品类，但净利率仅 39.7%</w:t>
      </w:r>
      <w:r>
        <w:rPr>
          <w:b w:val="false"/>
          <w:bCs w:val="false"/>
          <w:color w:val="1F3A5F"/>
          <w:sz w:val="22"/>
          <w:szCs w:val="22"/>
        </w:rPr>
        <w:t xml:space="preserve">，明显低于整体水平；</w:t>
      </w:r>
      <w:r>
        <w:rPr>
          <w:b/>
          <w:bCs/>
          <w:color w:val="1F3A5F"/>
          <w:sz w:val="22"/>
          <w:szCs w:val="22"/>
        </w:rPr>
        <w:t xml:space="preserve">金属书签（73.1 万，占 8.6%）净利率 54.8%</w:t>
      </w:r>
      <w:r>
        <w:rPr>
          <w:b w:val="false"/>
          <w:bCs w:val="false"/>
          <w:color w:val="1F3A5F"/>
          <w:sz w:val="22"/>
          <w:szCs w:val="22"/>
        </w:rPr>
        <w:t xml:space="preserve">，是 2 月冲量的核心贡献者；盲盒福袋（70.2 万，占 8.3%）净利率 52.2%，但退款率 16.2% 为全品类最高。</w:t>
      </w:r>
    </w:p>
    <w:p>
      <w:pPr>
        <w:spacing w:after="120" w:line="300"/>
      </w:pPr>
      <w:r>
        <w:rPr>
          <w:b w:val="false"/>
          <w:bCs w:val="false"/>
          <w:color w:val="1F3A5F"/>
          <w:sz w:val="22"/>
          <w:szCs w:val="22"/>
        </w:rPr>
        <w:t xml:space="preserve">从平台分布看，</w:t>
      </w:r>
      <w:r>
        <w:rPr>
          <w:b/>
          <w:bCs/>
          <w:color w:val="1F3A5F"/>
          <w:sz w:val="22"/>
          <w:szCs w:val="22"/>
        </w:rPr>
        <w:t xml:space="preserve">小红书（GMV 299.4 万，占 31.5%）、微信小店（240.8 万，占 25.3%）、淘宝（202.1 万，占 21.2%）</w:t>
      </w:r>
      <w:r>
        <w:rPr>
          <w:b w:val="false"/>
          <w:bCs w:val="false"/>
          <w:color w:val="1F3A5F"/>
          <w:sz w:val="22"/>
          <w:szCs w:val="22"/>
        </w:rPr>
        <w:t xml:space="preserve">前三平台合计贡献 78.0%，渠道集中度较高；三平台净利率均在 49%-51% 区间，规模与效率兼优。</w:t>
      </w:r>
    </w:p>
    <w:p>
      <w:pPr>
        <w:pStyle w:val="Heading3"/>
        <w:spacing w:after="140" w:before="280"/>
      </w:pPr>
      <w:r>
        <w:rPr>
          <w:b/>
          <w:bCs/>
          <w:color w:val="2E75B6"/>
          <w:sz w:val="28"/>
          <w:szCs w:val="28"/>
        </w:rPr>
        <w:t xml:space="preserve">2.2 月度趋势：爆发-回落-再攀升-7 月回调</w:t>
      </w:r>
    </w:p>
    <w:p>
      <w:pPr>
        <w:spacing w:after="120" w:line="300"/>
      </w:pPr>
      <w:r>
        <w:rPr>
          <w:b w:val="false"/>
          <w:bCs w:val="false"/>
          <w:color w:val="1F3A5F"/>
          <w:sz w:val="22"/>
          <w:szCs w:val="22"/>
        </w:rPr>
        <w:t xml:space="preserve">月度走势呈现明显的</w:t>
      </w:r>
      <w:r>
        <w:rPr>
          <w:b/>
          <w:bCs/>
          <w:color w:val="1F3A5F"/>
          <w:sz w:val="22"/>
          <w:szCs w:val="22"/>
        </w:rPr>
        <w:t xml:space="preserve">节庆脉冲 + 结构性回落</w:t>
      </w:r>
      <w:r>
        <w:rPr>
          <w:b w:val="false"/>
          <w:bCs w:val="false"/>
          <w:color w:val="1F3A5F"/>
          <w:sz w:val="22"/>
          <w:szCs w:val="22"/>
        </w:rPr>
        <w:t xml:space="preserve">特征：</w:t>
      </w:r>
    </w:p>
    <w:p>
      <w:pPr>
        <w:pStyle w:val="ListParagraph"/>
        <w:numPr>
          <w:ilvl w:val="0"/>
          <w:numId w:val="1"/>
        </w:numPr>
        <w:spacing w:after="80" w:line="300"/>
      </w:pPr>
      <w:r>
        <w:rPr>
          <w:b/>
          <w:bCs/>
          <w:color w:val="1F3A5F"/>
          <w:sz w:val="22"/>
          <w:szCs w:val="22"/>
        </w:rPr>
        <w:t xml:space="preserve">1 月</w:t>
      </w:r>
      <w:r>
        <w:rPr>
          <w:b w:val="false"/>
          <w:bCs w:val="false"/>
          <w:color w:val="1F3A5F"/>
          <w:sz w:val="22"/>
          <w:szCs w:val="22"/>
        </w:rPr>
        <w:t xml:space="preserve">（43.2 万）：启动期，基数低。</w:t>
      </w:r>
    </w:p>
    <w:p>
      <w:pPr>
        <w:pStyle w:val="ListParagraph"/>
        <w:numPr>
          <w:ilvl w:val="0"/>
          <w:numId w:val="1"/>
        </w:numPr>
        <w:spacing w:after="80" w:line="300"/>
      </w:pPr>
      <w:r>
        <w:rPr>
          <w:b/>
          <w:bCs/>
          <w:color w:val="1F3A5F"/>
          <w:sz w:val="22"/>
          <w:szCs w:val="22"/>
        </w:rPr>
        <w:t xml:space="preserve">2 月</w:t>
      </w:r>
      <w:r>
        <w:rPr>
          <w:b w:val="false"/>
          <w:bCs w:val="false"/>
          <w:color w:val="1F3A5F"/>
          <w:sz w:val="22"/>
          <w:szCs w:val="22"/>
        </w:rPr>
        <w:t xml:space="preserve">（164.6 万，环比 </w:t>
      </w:r>
      <w:r>
        <w:rPr>
          <w:b/>
          <w:bCs/>
          <w:color w:val="1F3A5F"/>
          <w:sz w:val="22"/>
          <w:szCs w:val="22"/>
        </w:rPr>
        <w:t xml:space="preserve">+280.7%</w:t>
      </w:r>
      <w:r>
        <w:rPr>
          <w:b w:val="false"/>
          <w:bCs w:val="false"/>
          <w:color w:val="1F3A5F"/>
          <w:sz w:val="22"/>
          <w:szCs w:val="22"/>
        </w:rPr>
        <w:t xml:space="preserve">）：春节+新年限定集中爆发，核心驱动为「跃马鸣霄」新年限定金属书签系列（11 个 SKU，单月 GMV 69.7 万，占当月 42.3%）；当月净利率 53.5%，为全年峰值。</w:t>
      </w:r>
    </w:p>
    <w:p>
      <w:pPr>
        <w:pStyle w:val="ListParagraph"/>
        <w:numPr>
          <w:ilvl w:val="0"/>
          <w:numId w:val="1"/>
        </w:numPr>
        <w:spacing w:after="80" w:line="300"/>
      </w:pPr>
      <w:r>
        <w:rPr>
          <w:b/>
          <w:bCs/>
          <w:color w:val="1F3A5F"/>
          <w:sz w:val="22"/>
          <w:szCs w:val="22"/>
        </w:rPr>
        <w:t xml:space="preserve">3 月</w:t>
      </w:r>
      <w:r>
        <w:rPr>
          <w:b w:val="false"/>
          <w:bCs w:val="false"/>
          <w:color w:val="1F3A5F"/>
          <w:sz w:val="22"/>
          <w:szCs w:val="22"/>
        </w:rPr>
        <w:t xml:space="preserve">（110.4 万）：爆品红利衰减，金属书签从 69.8 万回落至 13.6 万。</w:t>
      </w:r>
    </w:p>
    <w:p>
      <w:pPr>
        <w:pStyle w:val="ListParagraph"/>
        <w:numPr>
          <w:ilvl w:val="0"/>
          <w:numId w:val="1"/>
        </w:numPr>
        <w:spacing w:after="80" w:line="300"/>
      </w:pPr>
      <w:r>
        <w:rPr>
          <w:b/>
          <w:bCs/>
          <w:color w:val="1F3A5F"/>
          <w:sz w:val="22"/>
          <w:szCs w:val="22"/>
        </w:rPr>
        <w:t xml:space="preserve">4-6 月</w:t>
      </w:r>
      <w:r>
        <w:rPr>
          <w:b w:val="false"/>
          <w:bCs w:val="false"/>
          <w:color w:val="1F3A5F"/>
          <w:sz w:val="22"/>
          <w:szCs w:val="22"/>
        </w:rPr>
        <w:t xml:space="preserve">（161.2 / 164.7 / 179.6 万）：新品+盲盒福袋放量支撑连续走高，6 月为年内高点。</w:t>
      </w:r>
    </w:p>
    <w:p>
      <w:pPr>
        <w:pStyle w:val="ListParagraph"/>
        <w:numPr>
          <w:ilvl w:val="0"/>
          <w:numId w:val="1"/>
        </w:numPr>
        <w:spacing w:after="80" w:line="300"/>
      </w:pPr>
      <w:r>
        <w:rPr>
          <w:b/>
          <w:bCs/>
          <w:color w:val="1F3A5F"/>
          <w:sz w:val="22"/>
          <w:szCs w:val="22"/>
        </w:rPr>
        <w:t xml:space="preserve">7 月</w:t>
      </w:r>
      <w:r>
        <w:rPr>
          <w:b w:val="false"/>
          <w:bCs w:val="false"/>
          <w:color w:val="1F3A5F"/>
          <w:sz w:val="22"/>
          <w:szCs w:val="22"/>
        </w:rPr>
        <w:t xml:space="preserve">（127.5 万，环比 </w:t>
      </w:r>
      <w:r>
        <w:rPr>
          <w:b/>
          <w:bCs/>
          <w:color w:val="1F3A5F"/>
          <w:sz w:val="22"/>
          <w:szCs w:val="22"/>
        </w:rPr>
        <w:t xml:space="preserve">-29.0%</w:t>
      </w:r>
      <w:r>
        <w:rPr>
          <w:b w:val="false"/>
          <w:bCs w:val="false"/>
          <w:color w:val="1F3A5F"/>
          <w:sz w:val="22"/>
          <w:szCs w:val="22"/>
        </w:rPr>
        <w:t xml:space="preserve">）：明显回调，净利率 49.6%（较 6 月微升），呈现"量降利稳"特征——回落主要来自高基数与品类结构，而非毛利恶化。</w:t>
      </w:r>
    </w:p>
    <w:p>
      <w:pPr>
        <w:shd w:fill="FDEBD0"/>
        <w:spacing w:after="120" w:line="300"/>
      </w:pPr>
      <w:r>
        <w:rPr>
          <w:b w:val="false"/>
          <w:bCs w:val="false"/>
          <w:color w:val="1F3A5F"/>
          <w:sz w:val="22"/>
          <w:szCs w:val="22"/>
        </w:rPr>
        <w:t xml:space="preserve">
        2 月的爆发高度依赖单一新品系列；金属书签品类在 2 月后 4-7 月每月仅约 0.1 万元，近乎归零。7 月回调是"爆品红利消退 + 高退款品类占比上升 + 文具本册利润恶化"共振的结果，详见归因分析。
      </w:t>
      </w:r>
    </w:p>
    <w:p>
      <w:pPr>
        <w:pStyle w:val="Heading3"/>
        <w:spacing w:after="140" w:before="280"/>
      </w:pPr>
      <w:r>
        <w:rPr>
          <w:b/>
          <w:bCs/>
          <w:color w:val="2E75B6"/>
          <w:sz w:val="28"/>
          <w:szCs w:val="28"/>
        </w:rPr>
        <w:t xml:space="preserve">2.3 品类解读：图书大而不强，金属书签高开低走，盲盒福袋量升退款高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品类</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净销售(万)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净利率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退款率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毛利率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关键信号</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图书</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168.5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39.7%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8.0%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41.9%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第一大品类但净利率全品类最低，商品成本率 50.1% 高企</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立牌</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122.7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53.9%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9.2%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65.2%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规模第二、盈利稳健，小红书贡献 19.7 万净利居首</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文具本册</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74.7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43.6%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9.3%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52.7%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Q2 净利率从 49.8% 骤降至 38.3%，最需警惕</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金属书签</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73.1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54.8%</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14.6%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66.3%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 月爆发 59.2 万后 4-7 月近归零</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盲盒福袋</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70.2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52.2%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16.2%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63.1%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Q2 收入占比 0.1%→11.7%，但退款率最高</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色纸</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53.2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57.7%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10.6%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69.8%</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净利率全品类最高之一</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挂件</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50.6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51.5%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11.0%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62.3%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毛绒团子挂件占其 GMV 62.5%，是结构性亮点</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毛绒类</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40.9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48.9%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12.4%</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59.1%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退款率偏高，商品成本刚性</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吧唧</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32.5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56.2%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11.4%</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67.9%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小红书组合净利率 56.5%</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亚克力类</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25.4</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48.7%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12.7%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58.9%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物流费用率 13.8% 全品类最高，单件物流 1.89 元</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镭射票</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20.8</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59.2%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9.0%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71.6%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净利率全品类最高，商品成本率仅 16.2%</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纸品周边</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19.9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50.3%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8.1%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58.9%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摆件</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57.0%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10.0%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69.9%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规模小</w:t>
            </w:r>
          </w:p>
        </w:tc>
      </w:tr>
    </w:tbl>
    <w:p>
      <w:pPr>
        <w:shd w:fill="E8F0FA"/>
        <w:spacing w:after="120" w:line="300"/>
      </w:pPr>
      <w:r>
        <w:rPr>
          <w:b/>
          <w:bCs/>
          <w:color w:val="1F3A5F"/>
          <w:sz w:val="22"/>
          <w:szCs w:val="22"/>
        </w:rPr>
        <w:t xml:space="preserve">结构性信号：</w:t>
      </w:r>
      <w:r>
        <w:rPr>
          <w:b w:val="false"/>
          <w:bCs w:val="false"/>
          <w:color w:val="1F3A5F"/>
          <w:sz w:val="22"/>
          <w:szCs w:val="22"/>
        </w:rPr>
        <w:t xml:space="preserve">高净利率品类（镭射票 59.2%、色纸 57.7%、吧唧 56.2%、摆件 57.0%）规模普遍偏小；大品类中图书（39.7%）净利率显著拉低整体水平，若图书净利率提升至整体 50% 水平，可新增净利约 17 万元。
      </w:t>
      </w:r>
    </w:p>
    <w:p>
      <w:pPr>
        <w:pStyle w:val="Heading3"/>
        <w:spacing w:after="140" w:before="280"/>
      </w:pPr>
      <w:r>
        <w:rPr>
          <w:b/>
          <w:bCs/>
          <w:color w:val="2E75B6"/>
          <w:sz w:val="28"/>
          <w:szCs w:val="28"/>
        </w:rPr>
        <w:t xml:space="preserve">2.4 平台解读：小红书/微信/淘宝三足鼎立，京东/天猫净利率领先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平台</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GMV(万)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占比</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净利(万)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净利率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退款率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动销SKU</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小红书</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299.4</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31.5%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128.9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49.8%</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13.6%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520</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微信小店</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240.8</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25.3%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106.5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49.6%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10.9%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476</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淘宝</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202.1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21.2%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93.2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50.9%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9.4%</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388</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抖音</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102.1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10.7%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44.5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49.1%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11.3%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399</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天猫</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42.5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20.0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52.2%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9.9%</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230</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天使</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34.5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17.3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50.1%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0.0%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154</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快手</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14.7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6.1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48.3%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14.4%</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212</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京东</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11.6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5.7</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53.8%</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9.0%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230</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喜马拉雅</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0.6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0.1%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0.2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37.6%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0.0%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58</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新世纪</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0.3%</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54.6%</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0.0%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32</w:t>
            </w:r>
          </w:p>
        </w:tc>
      </w:tr>
    </w:tbl>
    <w:p>
      <w:pPr>
        <w:shd w:fill="E8F0FA"/>
        <w:spacing w:after="120" w:line="300"/>
      </w:pPr>
      <w:r>
        <w:rPr>
          <w:b/>
          <w:bCs/>
          <w:color w:val="1F3A5F"/>
          <w:sz w:val="22"/>
          <w:szCs w:val="22"/>
        </w:rPr>
        <w:t xml:space="preserve">平台效率观察：</w:t>
      </w:r>
      <w:r>
        <w:rPr>
          <w:b w:val="false"/>
          <w:bCs w:val="false"/>
          <w:color w:val="1F3A5F"/>
          <w:sz w:val="22"/>
          <w:szCs w:val="22"/>
        </w:rPr>
        <w:t xml:space="preserve">京东（53.8%）、新世纪（54.6%）净利率领先但规模有限；小红书 13.6%、快手 14.4% 退款率偏高，是平台退货风险的主要来源；喜马拉雅规模极小（GMV 0.6 万）且净利率仅 37.6%，建议评估其渠道价值。
      </w:t>
      </w:r>
    </w:p>
    <w:p>
      <w:pPr>
        <w:pStyle w:val="Heading3"/>
        <w:spacing w:after="140" w:before="280"/>
      </w:pPr>
      <w:r>
        <w:rPr>
          <w:b/>
          <w:bCs/>
          <w:color w:val="2E75B6"/>
          <w:sz w:val="28"/>
          <w:szCs w:val="28"/>
        </w:rPr>
        <w:t xml:space="preserve">2.5 交叉维度：图书强在小红书/微信，平台品类效率分化明显</w:t>
      </w:r>
    </w:p>
    <w:p>
      <w:pPr>
        <w:spacing w:after="120" w:line="300"/>
      </w:pPr>
      <w:r>
        <w:rPr>
          <w:b w:val="false"/>
          <w:bCs w:val="false"/>
          <w:color w:val="1F3A5F"/>
          <w:sz w:val="22"/>
          <w:szCs w:val="22"/>
        </w:rPr>
        <w:t xml:space="preserve">从品类×平台净利率矩阵看（见热力图）：</w:t>
      </w:r>
    </w:p>
    <w:p>
      <w:pPr>
        <w:pStyle w:val="ListParagraph"/>
        <w:numPr>
          <w:ilvl w:val="0"/>
          <w:numId w:val="1"/>
        </w:numPr>
        <w:spacing w:after="80" w:line="300"/>
      </w:pPr>
      <w:r>
        <w:rPr>
          <w:b/>
          <w:bCs/>
          <w:color w:val="1F3A5F"/>
          <w:sz w:val="22"/>
          <w:szCs w:val="22"/>
        </w:rPr>
        <w:t xml:space="preserve">图书</w:t>
      </w:r>
      <w:r>
        <w:rPr>
          <w:b w:val="false"/>
          <w:bCs w:val="false"/>
          <w:color w:val="1F3A5F"/>
          <w:sz w:val="22"/>
          <w:szCs w:val="22"/>
        </w:rPr>
        <w:t xml:space="preserve">净利率在 35%-41% 区间，小红书（38.6%）、微信小店（39.6%）、淘宝（41.3%）为主要贡献平台；喜马拉雅仅 9.9%，为全场最低组合（但该组合规模极小）。</w:t>
      </w:r>
    </w:p>
    <w:p>
      <w:pPr>
        <w:pStyle w:val="ListParagraph"/>
        <w:numPr>
          <w:ilvl w:val="0"/>
          <w:numId w:val="1"/>
        </w:numPr>
        <w:spacing w:after="80" w:line="300"/>
      </w:pPr>
      <w:r>
        <w:rPr>
          <w:b/>
          <w:bCs/>
          <w:color w:val="1F3A5F"/>
          <w:sz w:val="22"/>
          <w:szCs w:val="22"/>
        </w:rPr>
        <w:t xml:space="preserve">盲盒福袋</w:t>
      </w:r>
      <w:r>
        <w:rPr>
          <w:b w:val="false"/>
          <w:bCs w:val="false"/>
          <w:color w:val="1F3A5F"/>
          <w:sz w:val="22"/>
          <w:szCs w:val="22"/>
        </w:rPr>
        <w:t xml:space="preserve">在小红书（GMV 31.1 万、净利率 50.8%）与微信小店（24.3 万、52.2%）放量，但退款率分别高达 18.1% 与 12.0%。</w:t>
      </w:r>
    </w:p>
    <w:p>
      <w:pPr>
        <w:pStyle w:val="ListParagraph"/>
        <w:numPr>
          <w:ilvl w:val="0"/>
          <w:numId w:val="1"/>
        </w:numPr>
        <w:spacing w:after="80" w:line="300"/>
      </w:pPr>
      <w:r>
        <w:rPr>
          <w:b/>
          <w:bCs/>
          <w:color w:val="1F3A5F"/>
          <w:sz w:val="22"/>
          <w:szCs w:val="22"/>
        </w:rPr>
        <w:t xml:space="preserve">金属书签</w:t>
      </w:r>
      <w:r>
        <w:rPr>
          <w:b w:val="false"/>
          <w:bCs w:val="false"/>
          <w:color w:val="1F3A5F"/>
          <w:sz w:val="22"/>
          <w:szCs w:val="22"/>
        </w:rPr>
        <w:t xml:space="preserve">在小红书（25.9 万、净利率 55.5%）与微信小店（19.9 万、54.2%）贡献最大，但均伴随 19.1% / 14.6% 的高退款。</w:t>
      </w:r>
    </w:p>
    <w:p>
      <w:pPr>
        <w:pStyle w:val="ListParagraph"/>
        <w:numPr>
          <w:ilvl w:val="0"/>
          <w:numId w:val="1"/>
        </w:numPr>
        <w:spacing w:after="80" w:line="300"/>
      </w:pPr>
      <w:r>
        <w:rPr>
          <w:b/>
          <w:bCs/>
          <w:color w:val="1F3A5F"/>
          <w:sz w:val="22"/>
          <w:szCs w:val="22"/>
        </w:rPr>
        <w:t xml:space="preserve">天使渠道</w:t>
      </w:r>
      <w:r>
        <w:rPr>
          <w:b w:val="false"/>
          <w:bCs w:val="false"/>
          <w:color w:val="1F3A5F"/>
          <w:sz w:val="22"/>
          <w:szCs w:val="22"/>
        </w:rPr>
        <w:t xml:space="preserve">整体净利率 50.1% 属正常水平，但内部品类分化明显（金属书签 26.8%、色纸 18.9%、镭射票 30.7% 明显偏低），品类结构可优化。</w:t>
      </w:r>
    </w:p>
    <w:p>
      <w:pPr>
        <w:pStyle w:val="Heading1"/>
        <w:spacing w:before="400"/>
      </w:pPr>
      <w:r>
        <w:rPr>
          <w:color w:val="1F4E79"/>
        </w:rPr>
        <w:t xml:space="preserve">三、归因分析</w:t>
      </w:r>
    </w:p>
    <w:p>
      <w:pPr>
        <w:pStyle w:val="Heading3"/>
        <w:spacing w:after="140" w:before="280"/>
      </w:pPr>
      <w:r>
        <w:rPr>
          <w:b/>
          <w:bCs/>
          <w:color w:val="2E75B6"/>
          <w:sz w:val="28"/>
          <w:szCs w:val="28"/>
        </w:rPr>
        <w:t xml:space="preserve">3.1 7 月 GMV 环比 -29.0% 的三重归因</w:t>
      </w:r>
    </w:p>
    <w:p>
      <w:pPr>
        <w:spacing w:after="120" w:line="300"/>
      </w:pPr>
      <w:r>
        <w:rPr>
          <w:b/>
          <w:bCs/>
          <w:color w:val="1F3A5F"/>
          <w:sz w:val="22"/>
          <w:szCs w:val="22"/>
        </w:rPr>
        <w:t xml:space="preserve">归因一 · 金属书签爆品红利消退（主因）：</w:t>
      </w:r>
      <w:r>
        <w:rPr>
          <w:b w:val="false"/>
          <w:bCs w:val="false"/>
          <w:color w:val="1F3A5F"/>
          <w:sz w:val="22"/>
          <w:szCs w:val="22"/>
        </w:rPr>
        <w:t xml:space="preserve">2 月「跃马鸣霄」新年限定书签系列单月 GMV 69.7 万，占当月 42.3%；此后 4-7 月金属书签单月 GMV 跌至 0.1 万元附近，品类几近归零。爆品高基数对比直接压制同比口径，7 月缺少可替代的新品爆点。</w:t>
      </w:r>
    </w:p>
    <w:p>
      <w:pPr>
        <w:spacing w:after="120" w:line="300"/>
      </w:pPr>
      <w:r>
        <w:rPr>
          <w:b/>
          <w:bCs/>
          <w:color w:val="1F3A5F"/>
          <w:sz w:val="22"/>
          <w:szCs w:val="22"/>
        </w:rPr>
        <w:t xml:space="preserve">归因二 · 高退款品类放量稀释转化质量：</w:t>
      </w:r>
      <w:r>
        <w:rPr>
          <w:b w:val="false"/>
          <w:bCs w:val="false"/>
          <w:color w:val="1F3A5F"/>
          <w:sz w:val="22"/>
          <w:szCs w:val="22"/>
        </w:rPr>
        <w:t xml:space="preserve">盲盒福袋 Q2 收入占比由 0.1% 升至 11.7%（净销售约 53 万），但其退款率 16.2% 全品类最高，小红书组合达 18.1%。放量带来的净销售被高退款部分抵消，7 月盲盒福袋增速也明显放缓。</w:t>
      </w:r>
    </w:p>
    <w:p>
      <w:pPr>
        <w:spacing w:after="120" w:line="300"/>
      </w:pPr>
      <w:r>
        <w:rPr>
          <w:b/>
          <w:bCs/>
          <w:color w:val="1F3A5F"/>
          <w:sz w:val="22"/>
          <w:szCs w:val="22"/>
        </w:rPr>
        <w:t xml:space="preserve">归因三 · 平台普降、无结构对冲：</w:t>
      </w:r>
      <w:r>
        <w:rPr>
          <w:b w:val="false"/>
          <w:bCs w:val="false"/>
          <w:color w:val="1F3A5F"/>
          <w:sz w:val="22"/>
          <w:szCs w:val="22"/>
        </w:rPr>
        <w:t xml:space="preserve">小红书（7 月 44.9 万 vs 6 月 54.0 万）、微信小店（29.5 vs 42.8 万）、淘宝（25.5 vs 38.7 万）三大主力平台 7 月同步回落，天猫、抖音亦小幅下滑，缺乏逆势增长平台兜底。</w:t>
      </w:r>
    </w:p>
    <w:p>
      <w:pPr>
        <w:shd w:fill="E8F0FA"/>
        <w:spacing w:after="120" w:line="300"/>
      </w:pPr>
      <w:r>
        <w:rPr>
          <w:b w:val="false"/>
          <w:bCs w:val="false"/>
          <w:color w:val="1F3A5F"/>
          <w:sz w:val="22"/>
          <w:szCs w:val="22"/>
        </w:rPr>
        <w:t xml:space="preserve">
        定量估算：7 月较 6 月 GMV 减少约 52 万元，其中金属书签品类贡献差约 0 元（两月均在低位），盲盒福袋减少约 9 万元，图书减少约 8 万元，立牌减少约 8 万元，挂件减少约 6 万元——回落是普跌而非单一品类崩塌。
      </w:t>
      </w:r>
    </w:p>
    <w:p>
      <w:pPr>
        <w:pStyle w:val="Heading3"/>
        <w:spacing w:after="140" w:before="280"/>
      </w:pPr>
      <w:r>
        <w:rPr>
          <w:b/>
          <w:bCs/>
          <w:color w:val="2E75B6"/>
          <w:sz w:val="28"/>
          <w:szCs w:val="28"/>
        </w:rPr>
        <w:t xml:space="preserve">3.2 净利率走弱：Q2 较 Q1 明显下台阶</w:t>
      </w:r>
    </w:p>
    <w:p>
      <w:pPr>
        <w:spacing w:after="120" w:line="300"/>
      </w:pPr>
      <w:r>
        <w:rPr>
          <w:b w:val="false"/>
          <w:bCs w:val="false"/>
          <w:color w:val="1F3A5F"/>
          <w:sz w:val="22"/>
          <w:szCs w:val="22"/>
        </w:rPr>
        <w:t xml:space="preserve">月度净利率：1 月 50.0% → 2 月 53.5%（峰值）→ 3 月 51.0% → 4 月 49.2% → 5 月 49.3% → 6 月 48.4%（谷底）→ 7 月 49.6%（微回升）。Q1 平均约 51.5%，Q2 平均约 49.0%，整体净利率较年初明显下台阶。主要归因：</w:t>
      </w:r>
    </w:p>
    <w:p>
      <w:pPr>
        <w:pStyle w:val="ListParagraph"/>
        <w:numPr>
          <w:ilvl w:val="0"/>
          <w:numId w:val="1"/>
        </w:numPr>
        <w:spacing w:after="80" w:line="300"/>
      </w:pPr>
      <w:r>
        <w:rPr>
          <w:b/>
          <w:bCs/>
          <w:color w:val="1F3A5F"/>
          <w:sz w:val="22"/>
          <w:szCs w:val="22"/>
        </w:rPr>
        <w:t xml:space="preserve">文具本册全平台净利率骤降：</w:t>
      </w:r>
      <w:r>
        <w:rPr>
          <w:b w:val="false"/>
          <w:bCs w:val="false"/>
          <w:color w:val="1F3A5F"/>
          <w:sz w:val="22"/>
          <w:szCs w:val="22"/>
        </w:rPr>
        <w:t xml:space="preserve">Q1 净利率 49.8% → Q2 38.3%（-11.5pp）。分平台看：天猫 51.6%→34.5%（-17.1pp）、抖音 49.9%→35.8%（-14.1pp）、小红书 51.1%→37.5%（-13.6pp）、淘宝 51.3%→37.8%（-13.5pp）、微信小店 49.6%→40.1%（-9.5pp）。文具本册净销售 74.7 万，仅此项对 Q2 整体净利率的拖累约 1.5-2 个百分点。</w:t>
      </w:r>
    </w:p>
    <w:p>
      <w:pPr>
        <w:pStyle w:val="ListParagraph"/>
        <w:numPr>
          <w:ilvl w:val="0"/>
          <w:numId w:val="1"/>
        </w:numPr>
        <w:spacing w:after="80" w:line="300"/>
      </w:pPr>
      <w:r>
        <w:rPr>
          <w:b/>
          <w:bCs/>
          <w:color w:val="1F3A5F"/>
          <w:sz w:val="22"/>
          <w:szCs w:val="22"/>
        </w:rPr>
        <w:t xml:space="preserve">品类结构切换：</w:t>
      </w:r>
      <w:r>
        <w:rPr>
          <w:b w:val="false"/>
          <w:bCs w:val="false"/>
          <w:color w:val="1F3A5F"/>
          <w:sz w:val="22"/>
          <w:szCs w:val="22"/>
        </w:rPr>
        <w:t xml:space="preserve">高净利率的金属书签（54.8%）占比从 Q1 25.5% 降至 Q2 0.3%；中净利率的盲盒福袋（52.2%）放量但退款率高；图书占比虽稳定（19.9%→20.4%）但净利率低（39.7%）。</w:t>
      </w:r>
    </w:p>
    <w:p>
      <w:pPr>
        <w:pStyle w:val="ListParagraph"/>
        <w:numPr>
          <w:ilvl w:val="0"/>
          <w:numId w:val="1"/>
        </w:numPr>
        <w:spacing w:after="80" w:line="300"/>
      </w:pPr>
      <w:r>
        <w:rPr>
          <w:b/>
          <w:bCs/>
          <w:color w:val="1F3A5F"/>
          <w:sz w:val="22"/>
          <w:szCs w:val="22"/>
        </w:rPr>
        <w:t xml:space="preserve">天使渠道放量：</w:t>
      </w:r>
      <w:r>
        <w:rPr>
          <w:b w:val="false"/>
          <w:bCs w:val="false"/>
          <w:color w:val="1F3A5F"/>
          <w:sz w:val="22"/>
          <w:szCs w:val="22"/>
        </w:rPr>
        <w:t xml:space="preserve">天使渠道（净利率 50.1%）Q2 GMV 环比上升，但内部品类效率分化（金属书签、色纸等品类净利率明显低于平台整体），结构上略有拖累。</w:t>
      </w:r>
    </w:p>
    <w:p>
      <w:pPr>
        <w:pStyle w:val="Heading3"/>
        <w:spacing w:after="140" w:before="280"/>
      </w:pPr>
      <w:r>
        <w:rPr>
          <w:b/>
          <w:bCs/>
          <w:color w:val="2E75B6"/>
          <w:sz w:val="28"/>
          <w:szCs w:val="28"/>
        </w:rPr>
        <w:t xml:space="preserve">3.3 文具本册净利率骤降的可能成因</w:t>
      </w:r>
    </w:p>
    <w:p>
      <w:pPr>
        <w:spacing w:after="120" w:line="300"/>
      </w:pPr>
      <w:r>
        <w:rPr>
          <w:b w:val="false"/>
          <w:bCs w:val="false"/>
          <w:color w:val="1F3A5F"/>
          <w:sz w:val="22"/>
          <w:szCs w:val="22"/>
        </w:rPr>
        <w:t xml:space="preserve">文具本册净利率下降是全平台、系统性的（五个平台降幅 9.5-17.1pp），指向</w:t>
      </w:r>
      <w:r>
        <w:rPr>
          <w:b/>
          <w:bCs/>
          <w:color w:val="1F3A5F"/>
          <w:sz w:val="22"/>
          <w:szCs w:val="22"/>
        </w:rPr>
        <w:t xml:space="preserve">品类级共性因素而非单一渠道问题</w:t>
      </w:r>
      <w:r>
        <w:rPr>
          <w:b w:val="false"/>
          <w:bCs w:val="false"/>
          <w:color w:val="1F3A5F"/>
          <w:sz w:val="22"/>
          <w:szCs w:val="22"/>
        </w:rPr>
        <w:t xml:space="preserve">：</w:t>
      </w:r>
    </w:p>
    <w:p>
      <w:pPr>
        <w:pStyle w:val="ListParagraph"/>
        <w:numPr>
          <w:ilvl w:val="0"/>
          <w:numId w:val="1"/>
        </w:numPr>
        <w:spacing w:after="80" w:line="300"/>
      </w:pPr>
      <w:r>
        <w:rPr>
          <w:b/>
          <w:bCs/>
          <w:color w:val="1F3A5F"/>
          <w:sz w:val="22"/>
          <w:szCs w:val="22"/>
        </w:rPr>
        <w:t xml:space="preserve">成本端：</w:t>
      </w:r>
      <w:r>
        <w:rPr>
          <w:b w:val="false"/>
          <w:bCs w:val="false"/>
          <w:color w:val="1F3A5F"/>
          <w:sz w:val="22"/>
          <w:szCs w:val="22"/>
        </w:rPr>
        <w:t xml:space="preserve">笔记本/线缝本纸张与印工成本抬升，Q2 商品成本率明显上升（文具本册毛利率由 Q1 约 56% 降至 Q2 约 49%）。</w:t>
      </w:r>
    </w:p>
    <w:p>
      <w:pPr>
        <w:pStyle w:val="ListParagraph"/>
        <w:numPr>
          <w:ilvl w:val="0"/>
          <w:numId w:val="1"/>
        </w:numPr>
        <w:spacing w:after="80" w:line="300"/>
      </w:pPr>
      <w:r>
        <w:rPr>
          <w:b/>
          <w:bCs/>
          <w:color w:val="1F3A5F"/>
          <w:sz w:val="22"/>
          <w:szCs w:val="22"/>
        </w:rPr>
        <w:t xml:space="preserve">价格端：</w:t>
      </w:r>
      <w:r>
        <w:rPr>
          <w:b w:val="false"/>
          <w:bCs w:val="false"/>
          <w:color w:val="1F3A5F"/>
          <w:sz w:val="22"/>
          <w:szCs w:val="22"/>
        </w:rPr>
        <w:t xml:space="preserve">618 大促期折扣力度加大、赠品/满减活动侵蚀毛利，Q2 正值大促季。</w:t>
      </w:r>
    </w:p>
    <w:p>
      <w:pPr>
        <w:pStyle w:val="ListParagraph"/>
        <w:numPr>
          <w:ilvl w:val="0"/>
          <w:numId w:val="1"/>
        </w:numPr>
        <w:spacing w:after="80" w:line="300"/>
      </w:pPr>
      <w:r>
        <w:rPr>
          <w:b/>
          <w:bCs/>
          <w:color w:val="1F3A5F"/>
          <w:sz w:val="22"/>
          <w:szCs w:val="22"/>
        </w:rPr>
        <w:t xml:space="preserve">结构端：</w:t>
      </w:r>
      <w:r>
        <w:rPr>
          <w:b w:val="false"/>
          <w:bCs w:val="false"/>
          <w:color w:val="1F3A5F"/>
          <w:sz w:val="22"/>
          <w:szCs w:val="22"/>
        </w:rPr>
        <w:t xml:space="preserve">低毛利款式（如笔记本 vs 便利贴）Q2 放量占比提升。</w:t>
      </w:r>
    </w:p>
    <w:p>
      <w:pPr>
        <w:shd w:fill="FDEBD0"/>
        <w:spacing w:after="120" w:line="300"/>
      </w:pPr>
      <w:r>
        <w:rPr>
          <w:b w:val="false"/>
          <w:bCs w:val="false"/>
          <w:color w:val="1F3A5F"/>
          <w:sz w:val="22"/>
          <w:szCs w:val="22"/>
        </w:rPr>
        <w:t xml:space="preserve">
        文具本册是继图书之后第二大"规模-利润"失衡品类：规模第 4（74.7 万）但净利率仅 43.6% 且仍在快速下滑，若按 Q1 的 49.8% 净利率水平，Q2 文具本册可多贡献净利约 4-5 万元。
      </w:t>
      </w:r>
    </w:p>
    <w:p>
      <w:pPr>
        <w:pStyle w:val="Heading3"/>
        <w:spacing w:after="140" w:before="280"/>
      </w:pPr>
      <w:r>
        <w:rPr>
          <w:b/>
          <w:bCs/>
          <w:color w:val="2E75B6"/>
          <w:sz w:val="28"/>
          <w:szCs w:val="28"/>
        </w:rPr>
        <w:t xml:space="preserve">3.4 退款率：盲盒福袋与金属书签是重灾区</w:t>
      </w:r>
    </w:p>
    <w:p>
      <w:pPr>
        <w:pStyle w:val="ListParagraph"/>
        <w:numPr>
          <w:ilvl w:val="0"/>
          <w:numId w:val="1"/>
        </w:numPr>
        <w:spacing w:after="80" w:line="300"/>
      </w:pPr>
      <w:r>
        <w:rPr>
          <w:b/>
          <w:bCs/>
          <w:color w:val="1F3A5F"/>
          <w:sz w:val="22"/>
          <w:szCs w:val="22"/>
        </w:rPr>
        <w:t xml:space="preserve">盲盒福袋 16.2%（全品类最高）：</w:t>
      </w:r>
      <w:r>
        <w:rPr>
          <w:b w:val="false"/>
          <w:bCs w:val="false"/>
          <w:color w:val="1F3A5F"/>
          <w:sz w:val="22"/>
          <w:szCs w:val="22"/>
        </w:rPr>
        <w:t xml:space="preserve">盲盒/福袋类天然存在"不确定性退款"，小红书组合 18.1%、抖音组合 18.6% 显著偏高；盒内商品与买家预期落差是退款主因。</w:t>
      </w:r>
    </w:p>
    <w:p>
      <w:pPr>
        <w:pStyle w:val="ListParagraph"/>
        <w:numPr>
          <w:ilvl w:val="0"/>
          <w:numId w:val="1"/>
        </w:numPr>
        <w:spacing w:after="80" w:line="300"/>
      </w:pPr>
      <w:r>
        <w:rPr>
          <w:b/>
          <w:bCs/>
          <w:color w:val="1F3A5F"/>
          <w:sz w:val="22"/>
          <w:szCs w:val="22"/>
        </w:rPr>
        <w:t xml:space="preserve">金属书签 14.6%：</w:t>
      </w:r>
      <w:r>
        <w:rPr>
          <w:b w:val="false"/>
          <w:bCs w:val="false"/>
          <w:color w:val="1F3A5F"/>
          <w:sz w:val="22"/>
          <w:szCs w:val="22"/>
        </w:rPr>
        <w:t xml:space="preserve">2 月大促冲动消费 + 新年限定退换集中，小红书组合达 19.1%。</w:t>
      </w:r>
    </w:p>
    <w:p>
      <w:pPr>
        <w:pStyle w:val="ListParagraph"/>
        <w:numPr>
          <w:ilvl w:val="0"/>
          <w:numId w:val="1"/>
        </w:numPr>
        <w:spacing w:after="80" w:line="300"/>
      </w:pPr>
      <w:r>
        <w:rPr>
          <w:b/>
          <w:bCs/>
          <w:color w:val="1F3A5F"/>
          <w:sz w:val="22"/>
          <w:szCs w:val="22"/>
        </w:rPr>
        <w:t xml:space="preserve">亚克力类 12.7%、毛绒类 12.4%：</w:t>
      </w:r>
      <w:r>
        <w:rPr>
          <w:b w:val="false"/>
          <w:bCs w:val="false"/>
          <w:color w:val="1F3A5F"/>
          <w:sz w:val="22"/>
          <w:szCs w:val="22"/>
        </w:rPr>
        <w:t xml:space="preserve">高于整体水平，物流运输破损或色差争议占比较高。</w:t>
      </w:r>
    </w:p>
    <w:p>
      <w:pPr>
        <w:pStyle w:val="ListParagraph"/>
        <w:numPr>
          <w:ilvl w:val="0"/>
          <w:numId w:val="1"/>
        </w:numPr>
        <w:spacing w:after="80" w:line="300"/>
      </w:pPr>
      <w:r>
        <w:rPr>
          <w:b/>
          <w:bCs/>
          <w:color w:val="1F3A5F"/>
          <w:sz w:val="22"/>
          <w:szCs w:val="22"/>
        </w:rPr>
        <w:t xml:space="preserve">平台维度：</w:t>
      </w:r>
      <w:r>
        <w:rPr>
          <w:b w:val="false"/>
          <w:bCs w:val="false"/>
          <w:color w:val="1F3A5F"/>
          <w:sz w:val="22"/>
          <w:szCs w:val="22"/>
        </w:rPr>
        <w:t xml:space="preserve">小红书整体退款率 13.6%、快手 14.4% 明显高于微信小店（10.9%）与淘宝（9.4%），与种草冲动消费属性相关。</w:t>
      </w:r>
    </w:p>
    <w:p>
      <w:pPr>
        <w:spacing w:after="120" w:line="300"/>
      </w:pPr>
      <w:r>
        <w:rPr>
          <w:b w:val="false"/>
          <w:bCs w:val="false"/>
          <w:color w:val="1F3A5F"/>
          <w:sz w:val="22"/>
          <w:szCs w:val="22"/>
        </w:rPr>
        <w:t xml:space="preserve">退款率对净利的侵蚀示例：盲盒福袋 GMV 约 83.8 万、退款率 16.2%，若降至 12%（参考微信小店组合水平），可回收净销售约 3.5 万元，按 52% 净利率折算新增净利约 1.8 万元。</w:t>
      </w:r>
    </w:p>
    <w:p>
      <w:pPr>
        <w:pStyle w:val="Heading3"/>
        <w:spacing w:after="140" w:before="280"/>
      </w:pPr>
      <w:r>
        <w:rPr>
          <w:b/>
          <w:bCs/>
          <w:color w:val="2E75B6"/>
          <w:sz w:val="28"/>
          <w:szCs w:val="28"/>
        </w:rPr>
        <w:t xml:space="preserve">3.5 成本结构：图书商品成本高企、亚克力物流成本偏重</w:t>
      </w:r>
    </w:p>
    <w:p>
      <w:pPr>
        <w:pStyle w:val="ListParagraph"/>
        <w:numPr>
          <w:ilvl w:val="0"/>
          <w:numId w:val="1"/>
        </w:numPr>
        <w:spacing w:after="80" w:line="300"/>
      </w:pPr>
      <w:r>
        <w:rPr>
          <w:b/>
          <w:bCs/>
          <w:color w:val="1F3A5F"/>
          <w:sz w:val="22"/>
          <w:szCs w:val="22"/>
        </w:rPr>
        <w:t xml:space="preserve">商品成本率：</w:t>
      </w:r>
      <w:r>
        <w:rPr>
          <w:b w:val="false"/>
          <w:bCs w:val="false"/>
          <w:color w:val="1F3A5F"/>
          <w:sz w:val="22"/>
          <w:szCs w:val="22"/>
        </w:rPr>
        <w:t xml:space="preserve">图书 50.1% 最高（IP 版权金 + 纸张印刷双重成本）；镭射票 16.2%、色纸 20.6% 最低。图书毛利率 41.9% 是全品类最低，与净利率 39.7% 互为印证。</w:t>
      </w:r>
    </w:p>
    <w:p>
      <w:pPr>
        <w:pStyle w:val="ListParagraph"/>
        <w:numPr>
          <w:ilvl w:val="0"/>
          <w:numId w:val="1"/>
        </w:numPr>
        <w:spacing w:after="80" w:line="300"/>
      </w:pPr>
      <w:r>
        <w:rPr>
          <w:b/>
          <w:bCs/>
          <w:color w:val="1F3A5F"/>
          <w:sz w:val="22"/>
          <w:szCs w:val="22"/>
        </w:rPr>
        <w:t xml:space="preserve">物流费用率：</w:t>
      </w:r>
      <w:r>
        <w:rPr>
          <w:b w:val="false"/>
          <w:bCs w:val="false"/>
          <w:color w:val="1F3A5F"/>
          <w:sz w:val="22"/>
          <w:szCs w:val="22"/>
        </w:rPr>
        <w:t xml:space="preserve">亚克力类 13.8% 全品类最高（单件物流 1.89 元），文具本册 13.1% 次之（单件 2.63 元）；盲盒福袋 3.8% 最低（客单价高、件数少）。</w:t>
      </w:r>
    </w:p>
    <w:p>
      <w:pPr>
        <w:pStyle w:val="ListParagraph"/>
        <w:numPr>
          <w:ilvl w:val="0"/>
          <w:numId w:val="1"/>
        </w:numPr>
        <w:spacing w:after="80" w:line="300"/>
      </w:pPr>
      <w:r>
        <w:rPr>
          <w:b/>
          <w:bCs/>
          <w:color w:val="1F3A5F"/>
          <w:sz w:val="22"/>
          <w:szCs w:val="22"/>
        </w:rPr>
        <w:t xml:space="preserve">平台物流费用率：</w:t>
      </w:r>
      <w:r>
        <w:rPr>
          <w:b w:val="false"/>
          <w:bCs w:val="false"/>
          <w:color w:val="1F3A5F"/>
          <w:sz w:val="22"/>
          <w:szCs w:val="22"/>
        </w:rPr>
        <w:t xml:space="preserve">淘宝 7.7% 最低（单件 2.44 元），快手 8.3%（单件 4.11 元全平台最高）、微信小店 9.4%、小红书/天猫/抖音 9.0%。</w:t>
      </w:r>
    </w:p>
    <w:p>
      <w:pPr>
        <w:shd w:fill="E8F0FA"/>
        <w:spacing w:after="120" w:line="300"/>
      </w:pPr>
      <w:r>
        <w:rPr>
          <w:b w:val="false"/>
          <w:bCs w:val="false"/>
          <w:color w:val="1F3A5F"/>
          <w:sz w:val="22"/>
          <w:szCs w:val="22"/>
        </w:rPr>
        <w:t xml:space="preserve">
        注：原报告中部分品类的"商品成本率/物流费用率"拆分与源表存在出入（如镭射票报告为 18.6%/9.8%，按源表重算为 16.2%/12.2%；金属书签报告为 24.5%/9.2%，重算为 29.1%/4.6%），两者合计一致、毛利率一致，但拆分口径需修正——详见附录 A 数据核对。
      </w:t>
      </w:r>
    </w:p>
    <w:p>
      <w:pPr>
        <w:pStyle w:val="Heading1"/>
        <w:spacing w:before="400"/>
      </w:pPr>
      <w:r>
        <w:rPr>
          <w:color w:val="1F4E79"/>
        </w:rPr>
        <w:t xml:space="preserve">四、运营建议</w:t>
      </w:r>
    </w:p>
    <w:p>
      <w:pPr>
        <w:spacing w:after="120" w:line="300"/>
      </w:pPr>
      <w:r>
        <w:rPr>
          <w:b w:val="false"/>
          <w:bCs w:val="false"/>
          <w:color w:val="1F3A5F"/>
          <w:sz w:val="22"/>
          <w:szCs w:val="22"/>
        </w:rPr>
        <w:t xml:space="preserve">目标净利率 39.7% → 45%：优化 IP 分成谈判、纸张集采、按需印刷，砍尾部低毛利书品。若提升 5pp 即新增净利约 8.4 万元。</w:t>
      </w:r>
    </w:p>
    <w:p>
      <w:pPr>
        <w:spacing w:after="120" w:line="300"/>
      </w:pPr>
      <w:r>
        <w:rPr>
          <w:b w:val="false"/>
          <w:bCs w:val="false"/>
          <w:color w:val="1F3A5F"/>
          <w:sz w:val="22"/>
          <w:szCs w:val="22"/>
        </w:rPr>
        <w:t xml:space="preserve">2 月"跃马鸣霄"验证了节日限定爆品模型。建议建立"节日限定 + 常规款"双线，提前 2 个月上新排期，避免品类 4-7 月归零。</w:t>
      </w:r>
    </w:p>
    <w:p>
      <w:pPr>
        <w:spacing w:after="120" w:line="300"/>
      </w:pPr>
      <w:r>
        <w:rPr>
          <w:b w:val="false"/>
          <w:bCs w:val="false"/>
          <w:color w:val="1F3A5F"/>
          <w:sz w:val="22"/>
          <w:szCs w:val="22"/>
        </w:rPr>
        <w:t xml:space="preserve">退款率 16.2%→12% 可回收约 3.5 万净销售。详情页增加"盒内款式清单概率公示"、加强材质/尺寸说明、优化发货质检。</w:t>
      </w:r>
    </w:p>
    <w:p>
      <w:pPr>
        <w:spacing w:after="120" w:line="300"/>
      </w:pPr>
      <w:r>
        <w:rPr>
          <w:b w:val="false"/>
          <w:bCs w:val="false"/>
          <w:color w:val="1F3A5F"/>
          <w:sz w:val="22"/>
          <w:szCs w:val="22"/>
        </w:rPr>
        <w:t xml:space="preserve">Q2 净利率 -11.5pp 是最大风险。建议复盘 618 定价与折扣、重谈纸张印工供应商、砍亏损款式，Q3 目标净利率回 45%。</w:t>
      </w:r>
    </w:p>
    <w:p>
      <w:pPr>
        <w:spacing w:after="120" w:line="300"/>
      </w:pPr>
      <w:r>
        <w:rPr>
          <w:b w:val="false"/>
          <w:bCs w:val="false"/>
          <w:color w:val="1F3A5F"/>
          <w:sz w:val="22"/>
          <w:szCs w:val="22"/>
        </w:rPr>
        <w:t xml:space="preserve">净利率 50.3%、GMV 56.8 万、SKU 仅 9 个，是"高利润+高增长"双优品类。建议扩 SKU、加 IP 联名、小红书种草加码。</w:t>
      </w:r>
    </w:p>
    <w:p>
      <w:pPr>
        <w:spacing w:after="120" w:line="300"/>
      </w:pPr>
      <w:r>
        <w:rPr>
          <w:b w:val="false"/>
          <w:bCs w:val="false"/>
          <w:color w:val="1F3A5F"/>
          <w:sz w:val="22"/>
          <w:szCs w:val="22"/>
        </w:rPr>
        <w:t xml:space="preserve">GMV 299.4 万（31.5%）且净利率 49.8%，规模与效率兼优。加大笔记投放与直播场次；同时管控 13.6% 的退款率，重点盯盲盒福袋/金属书签组合。</w:t>
      </w:r>
    </w:p>
    <w:p>
      <w:pPr>
        <w:spacing w:after="120" w:line="300"/>
      </w:pPr>
      <w:r>
        <w:rPr>
          <w:b w:val="false"/>
          <w:bCs w:val="false"/>
          <w:color w:val="1F3A5F"/>
          <w:sz w:val="22"/>
          <w:szCs w:val="22"/>
        </w:rPr>
        <w:t xml:space="preserve">净利率 49.6%、退款率 10.9%，规模居第二、效率中上，是私域粘性最高的主力平台。建议扩大会员/社群运营，用私域承接新品首发，降低公域引流成本。</w:t>
      </w:r>
    </w:p>
    <w:p>
      <w:pPr>
        <w:spacing w:after="120" w:line="300"/>
      </w:pPr>
      <w:r>
        <w:rPr>
          <w:b w:val="false"/>
          <w:bCs w:val="false"/>
          <w:color w:val="1F3A5F"/>
          <w:sz w:val="22"/>
          <w:szCs w:val="22"/>
        </w:rPr>
        <w:t xml:space="preserve">整体净利率 50.1% 属正常，但金属书签（26.8%）、色纸（18.9%）等品类效率明显偏低。建议评估该渠道品类投放结构，聚焦高净利率品类。</w:t>
      </w:r>
    </w:p>
    <w:p>
      <w:pPr>
        <w:pStyle w:val="Heading3"/>
        <w:spacing w:after="140" w:before="280"/>
      </w:pPr>
      <w:r>
        <w:rPr>
          <w:b/>
          <w:bCs/>
          <w:color w:val="2E75B6"/>
          <w:sz w:val="28"/>
          <w:szCs w:val="28"/>
        </w:rPr>
        <w:t xml:space="preserve">4.1 优先级路线图（按净利增量潜力排序）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优先级</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动作</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目标</w:t>
            </w:r>
          </w:p>
        </w:tc>
        <w:tc>
          <w:tcPr>
            <w:tcBorders>
              <w:top w:val="single" w:color="BFD3EA" w:sz="4"/>
              <w:left w:val="single" w:color="BFD3EA" w:sz="4"/>
              <w:bottom w:val="single" w:color="BFD3EA" w:sz="4"/>
              <w:right w:val="single" w:color="BFD3EA" w:sz="4"/>
            </w:tcBorders>
            <w:shd w:fill="DCEBF7"/>
            <w:tcMar>
              <w:top w:type="dxa" w:w="60"/>
              <w:left w:type="dxa" w:w="100"/>
              <w:bottom w:type="dxa" w:w="60"/>
              <w:right w:type="dxa" w:w="100"/>
            </w:tcMar>
          </w:tcPr>
          <w:p>
            <w:pPr>
              <w:spacing w:after="0"/>
            </w:pPr>
            <w:r>
              <w:rPr>
                <w:b/>
                <w:bCs/>
                <w:color w:val="1F4E79"/>
                <w:sz w:val="19"/>
                <w:szCs w:val="19"/>
              </w:rPr>
              <w:t xml:space="preserve">估算净利增量</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P0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文具本册 Q2 利润恶化专项复盘，恢复定价与成本</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净利率回 45%+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约 5-8 万元/季</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P0</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图书成本结构优化（版权+印刷）</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净利率 39.7% → 45%</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约 8-9 万元/年</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P1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盲盒福袋退款率管控</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16.2% → 12%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约 2-3 万元/年</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P1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金属书签节日限定双线产品节奏</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Q4 再创爆点</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（结构性）</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P1</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毛绒团子挂件扩 SKU + 小红书加码</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GMV 年化翻倍</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（结构性）</w:t>
            </w:r>
          </w:p>
        </w:tc>
      </w:tr>
      <w:tr>
        <w:trPr>
          <w:tblHeader w:val="false"/>
        </w:trPr>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P2</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天使渠道品类结构优化</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聚焦高净利率品类</w:t>
            </w:r>
          </w:p>
        </w:tc>
        <w:tc>
          <w:tcPr>
            <w:tcBorders>
              <w:top w:val="single" w:color="BFD3EA" w:sz="4"/>
              <w:left w:val="single" w:color="BFD3EA" w:sz="4"/>
              <w:bottom w:val="single" w:color="BFD3EA" w:sz="4"/>
              <w:right w:val="single" w:color="BFD3EA" w:sz="4"/>
            </w:tcBorders>
            <w:shd w:fill="FFFFFF"/>
            <w:tcMar>
              <w:top w:type="dxa" w:w="60"/>
              <w:left w:type="dxa" w:w="100"/>
              <w:bottom w:type="dxa" w:w="60"/>
              <w:right w:type="dxa" w:w="100"/>
            </w:tcMar>
          </w:tcPr>
          <w:p>
            <w:pPr>
              <w:spacing w:after="0"/>
            </w:pPr>
            <w:r>
              <w:rPr>
                <w:b w:val="false"/>
                <w:bCs w:val="false"/>
                <w:color w:val="2C4A73"/>
                <w:sz w:val="19"/>
                <w:szCs w:val="19"/>
              </w:rPr>
              <w:t xml:space="preserve">约 2-3 万元/年</w:t>
            </w:r>
          </w:p>
        </w:tc>
      </w:tr>
    </w:tbl>
    <w:p>
      <w:pPr>
        <w:shd w:fill="D5EDD9"/>
        <w:spacing w:after="120" w:line="300"/>
      </w:pPr>
      <w:r>
        <w:rPr>
          <w:b/>
          <w:bCs/>
          <w:color w:val="1F3A5F"/>
          <w:sz w:val="22"/>
          <w:szCs w:val="22"/>
        </w:rPr>
        <w:t xml:space="preserve">总体判断：</w:t>
      </w:r>
      <w:r>
        <w:rPr>
          <w:b w:val="false"/>
          <w:bCs w:val="false"/>
          <w:color w:val="1F3A5F"/>
          <w:sz w:val="22"/>
          <w:szCs w:val="22"/>
        </w:rPr>
        <w:t xml:space="preserve">业务基本盘（净利率 50.1%、三平台 78.0% 集中度）稳固，7 月回调与 Q2 净利率走弱属"结构性、可干预"问题。短期止血（文具本册、图书）优先于开新（新品、新渠道），预计 3-6 个月内可将净利率修复至 50% 以上平台。
      </w:t>
      </w:r>
    </w:p>
    <w:p>
      <w:pPr>
        <w:pStyle w:val="Heading1"/>
        <w:spacing w:before="400"/>
      </w:pPr>
      <w:r>
        <w:rPr>
          <w:color w:val="1F4E79"/>
        </w:rPr>
        <w:t xml:space="preserve">附录 A　数据核对结果</w:t>
      </w:r>
    </w:p>
    <w:p>
      <w:pPr>
        <w:pStyle w:val="Heading3"/>
        <w:spacing w:after="140" w:before="280"/>
      </w:pPr>
      <w:r>
        <w:rPr>
          <w:b/>
          <w:bCs/>
          <w:color w:val="2E75B6"/>
          <w:sz w:val="28"/>
          <w:szCs w:val="28"/>
        </w:rPr>
        <w:t xml:space="preserve">A.1 核对方法与口径</w:t>
      </w:r>
    </w:p>
    <w:p>
      <w:pPr>
        <w:spacing w:after="120" w:line="300"/>
      </w:pPr>
      <w:r>
        <w:rPr>
          <w:b w:val="false"/>
          <w:bCs w:val="false"/>
          <w:color w:val="1F3A5F"/>
          <w:sz w:val="22"/>
          <w:szCs w:val="22"/>
        </w:rPr>
        <w:t xml:space="preserve">以《周边业务-经营利润表-1-7月(2).xlsx》为唯一数据源，以「各平台数据分表」（6,976 行 SKU×平台×月份明细）为明细基础，关联「各SKU数据汇总」的产品类型字段进行品类归集（多类型 SKU 取出现次数最多的类型），重新汇总计算全部指标，与报告原文逐项比对。</w:t>
      </w:r>
    </w:p>
    <w:p>
      <w:pPr>
        <w:spacing w:after="120" w:line="300"/>
      </w:pPr>
      <w:r>
        <w:rPr>
          <w:b w:val="false"/>
          <w:bCs w:val="false"/>
          <w:color w:val="1F3A5F"/>
          <w:sz w:val="22"/>
          <w:szCs w:val="22"/>
        </w:rPr>
        <w:t xml:space="preserve">指标口径：净销售额 = 销售额 - 退款金额；毛利 = 净销售额 - 商品成本 - 仓储物流成本 - 包装成本；税后净利 = 毛利 - 增值税及附加 - 企业所得税 - 印花税；净利率 = 税后净利 / 净销售额；退款率 = 退款金额 / 销售额。</w:t>
      </w:r>
    </w:p>
    <w:p>
      <w:pPr>
        <w:pStyle w:val="Heading3"/>
        <w:spacing w:after="140" w:before="280"/>
      </w:pPr>
      <w:r>
        <w:rPr>
          <w:b/>
          <w:bCs/>
          <w:color w:val="2E75B6"/>
          <w:sz w:val="28"/>
          <w:szCs w:val="28"/>
        </w:rPr>
        <w:t xml:space="preserve">A.2 验证通过项（与 Excel 重算完全一致或基本一致）</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pStyle w:val="Heading3"/>
        <w:spacing w:after="140" w:before="280"/>
      </w:pPr>
      <w:r>
        <w:rPr>
          <w:b/>
          <w:bCs/>
          <w:color w:val="2E75B6"/>
          <w:sz w:val="28"/>
          <w:szCs w:val="28"/>
        </w:rPr>
        <w:t xml:space="preserve">A.3 发现的问题与修正（重点）</w:t>
      </w:r>
    </w:p>
    <w:p>
      <w:pPr>
        <w:shd w:fill="FDEDEC"/>
        <w:spacing w:after="100" w:line="300"/>
      </w:pPr>
      <w:r>
        <w:rPr>
          <w:b/>
          <w:bCs/>
          <w:color w:val="C0392B"/>
          <w:sz w:val="22"/>
          <w:szCs w:val="22"/>
        </w:rPr>
        <w:t xml:space="preserve">✕ </w:t>
      </w:r>
      <w:r>
        <w:rPr>
          <w:b w:val="false"/>
          <w:bCs w:val="false"/>
          <w:color w:val="1F3A5F"/>
          <w:sz w:val="22"/>
          <w:szCs w:val="22"/>
        </w:rPr>
        <w:t xml:space="preserve">div class="v-icon bad"&gt;✕</w:t>
      </w:r>
    </w:p>
    <w:p>
      <w:pPr>
        <w:shd w:fill="FDEDEC"/>
        <w:spacing w:after="100" w:line="300"/>
      </w:pPr>
      <w:r>
        <w:rPr>
          <w:b/>
          <w:bCs/>
          <w:color w:val="C0392B"/>
          <w:sz w:val="22"/>
          <w:szCs w:val="22"/>
        </w:rPr>
        <w:t xml:space="preserve">✕ </w:t>
      </w:r>
      <w:r>
        <w:rPr>
          <w:b w:val="false"/>
          <w:bCs w:val="false"/>
          <w:color w:val="1F3A5F"/>
          <w:sz w:val="22"/>
          <w:szCs w:val="22"/>
        </w:rPr>
        <w:t xml:space="preserve">div class="v-icon bad"&gt;✕</w:t>
      </w:r>
    </w:p>
    <w:p>
      <w:pPr>
        <w:shd w:fill="FDEDEC"/>
        <w:spacing w:after="100" w:line="300"/>
      </w:pPr>
      <w:r>
        <w:rPr>
          <w:b/>
          <w:bCs/>
          <w:color w:val="C0392B"/>
          <w:sz w:val="22"/>
          <w:szCs w:val="22"/>
        </w:rPr>
        <w:t xml:space="preserve">✕ </w:t>
      </w:r>
      <w:r>
        <w:rPr>
          <w:b w:val="false"/>
          <w:bCs w:val="false"/>
          <w:color w:val="1F3A5F"/>
          <w:sz w:val="22"/>
          <w:szCs w:val="22"/>
        </w:rPr>
        <w:t xml:space="preserve">div class="v-icon bad"&gt;✕</w:t>
      </w:r>
    </w:p>
    <w:p>
      <w:pPr>
        <w:shd w:fill="FDEDEC"/>
        <w:spacing w:after="100" w:line="300"/>
      </w:pPr>
      <w:r>
        <w:rPr>
          <w:b/>
          <w:bCs/>
          <w:color w:val="C0392B"/>
          <w:sz w:val="22"/>
          <w:szCs w:val="22"/>
        </w:rPr>
        <w:t xml:space="preserve">✕ </w:t>
      </w:r>
      <w:r>
        <w:rPr>
          <w:b w:val="false"/>
          <w:bCs w:val="false"/>
          <w:color w:val="1F3A5F"/>
          <w:sz w:val="22"/>
          <w:szCs w:val="22"/>
        </w:rPr>
        <w:t xml:space="preserve">div class="v-icon bad"&gt;✕</w:t>
      </w:r>
    </w:p>
    <w:p>
      <w:pPr>
        <w:shd w:fill="FDEDEC"/>
        <w:spacing w:after="100" w:line="300"/>
      </w:pPr>
      <w:r>
        <w:rPr>
          <w:b/>
          <w:bCs/>
          <w:color w:val="C0392B"/>
          <w:sz w:val="22"/>
          <w:szCs w:val="22"/>
        </w:rPr>
        <w:t xml:space="preserve">✕ </w:t>
      </w:r>
      <w:r>
        <w:rPr>
          <w:b w:val="false"/>
          <w:bCs w:val="false"/>
          <w:color w:val="1F3A5F"/>
          <w:sz w:val="22"/>
          <w:szCs w:val="22"/>
        </w:rPr>
        <w:t xml:space="preserve">div class="v-icon bad"&gt;✕</w:t>
      </w:r>
    </w:p>
    <w:p>
      <w:pPr>
        <w:shd w:fill="FDEDEC"/>
        <w:spacing w:after="100" w:line="300"/>
      </w:pPr>
      <w:r>
        <w:rPr>
          <w:b/>
          <w:bCs/>
          <w:color w:val="C0392B"/>
          <w:sz w:val="22"/>
          <w:szCs w:val="22"/>
        </w:rPr>
        <w:t xml:space="preserve">✕ </w:t>
      </w:r>
      <w:r>
        <w:rPr>
          <w:b w:val="false"/>
          <w:bCs w:val="false"/>
          <w:color w:val="1F3A5F"/>
          <w:sz w:val="22"/>
          <w:szCs w:val="22"/>
        </w:rPr>
        <w:t xml:space="preserve">div class="v-icon bad"&gt;✕</w:t>
      </w:r>
    </w:p>
    <w:p>
      <w:pPr>
        <w:shd w:fill="EAF6EE"/>
        <w:spacing w:after="100" w:line="300"/>
      </w:pPr>
      <w:r>
        <w:rPr>
          <w:b/>
          <w:bCs/>
          <w:color w:val="27AE60"/>
          <w:sz w:val="22"/>
          <w:szCs w:val="22"/>
        </w:rPr>
        <w:t xml:space="preserve">✓ </w:t>
      </w:r>
      <w:r>
        <w:rPr>
          <w:b w:val="false"/>
          <w:bCs w:val="false"/>
          <w:color w:val="1F3A5F"/>
          <w:sz w:val="22"/>
          <w:szCs w:val="22"/>
        </w:rPr>
        <w:t xml:space="preserve">div class="v-icon ok"&gt;✓</w:t>
      </w:r>
    </w:p>
    <w:p>
      <w:pPr>
        <w:pStyle w:val="Heading3"/>
        <w:spacing w:after="140" w:before="280"/>
      </w:pPr>
      <w:r>
        <w:rPr>
          <w:b/>
          <w:bCs/>
          <w:color w:val="2E75B6"/>
          <w:sz w:val="28"/>
          <w:szCs w:val="28"/>
        </w:rPr>
        <w:t xml:space="preserve">A.4 核对结论</w:t>
      </w:r>
    </w:p>
    <w:p>
      <w:pPr>
        <w:shd w:fill="D5EDD9"/>
        <w:spacing w:after="120" w:line="300"/>
      </w:pPr>
      <w:r>
        <w:rPr>
          <w:b w:val="false"/>
          <w:bCs w:val="false"/>
          <w:color w:val="1F3A5F"/>
          <w:sz w:val="22"/>
          <w:szCs w:val="22"/>
        </w:rPr>
        <w:t xml:space="preserve">
        原报告 </w:t>
      </w:r>
      <w:r>
        <w:rPr>
          <w:b/>
          <w:bCs/>
          <w:color w:val="1F3A5F"/>
          <w:sz w:val="22"/>
          <w:szCs w:val="22"/>
        </w:rPr>
        <w:t xml:space="preserve">90% 以上的关键数据与 Excel 完全一致</w:t>
      </w:r>
      <w:r>
        <w:rPr>
          <w:b w:val="false"/>
          <w:bCs w:val="false"/>
          <w:color w:val="1F3A5F"/>
          <w:sz w:val="22"/>
          <w:szCs w:val="22"/>
        </w:rPr>
        <w:t xml:space="preserve">（总体、月度、品类、平台、矩阵、专项、趋势等），结论方向基本成立；但存在 1 处</w:t>
      </w:r>
      <w:r>
        <w:rPr>
          <w:b/>
          <w:bCs/>
          <w:color w:val="1F3A5F"/>
          <w:sz w:val="22"/>
          <w:szCs w:val="22"/>
        </w:rPr>
        <w:t xml:space="preserve">品类结构张冠李戴</w:t>
      </w:r>
      <w:r>
        <w:rPr>
          <w:b w:val="false"/>
          <w:bCs w:val="false"/>
          <w:color w:val="1F3A5F"/>
          <w:sz w:val="22"/>
          <w:szCs w:val="22"/>
        </w:rPr>
        <w:t xml:space="preserve">、1 处</w:t>
      </w:r>
      <w:r>
        <w:rPr>
          <w:b/>
          <w:bCs/>
          <w:color w:val="1F3A5F"/>
          <w:sz w:val="22"/>
          <w:szCs w:val="22"/>
        </w:rPr>
        <w:t xml:space="preserve">关键事实遗漏</w:t>
      </w:r>
      <w:r>
        <w:rPr>
          <w:b w:val="false"/>
          <w:bCs w:val="false"/>
          <w:color w:val="1F3A5F"/>
          <w:sz w:val="22"/>
          <w:szCs w:val="22"/>
        </w:rPr>
        <w:t xml:space="preserve">（金属书签 2 月爆品）、以及成本率拆分、个别退款率等</w:t>
      </w:r>
      <w:r>
        <w:rPr>
          <w:b/>
          <w:bCs/>
          <w:color w:val="1F3A5F"/>
          <w:sz w:val="22"/>
          <w:szCs w:val="22"/>
        </w:rPr>
        <w:t xml:space="preserve">口径级误差</w:t>
      </w:r>
      <w:r>
        <w:rPr>
          <w:b w:val="false"/>
          <w:bCs w:val="false"/>
          <w:color w:val="1F3A5F"/>
          <w:sz w:val="22"/>
          <w:szCs w:val="22"/>
        </w:rPr>
        <w:t xml:space="preserve">。本报告已全部按源表修正，并在此基础上重新生成可视化图表与优化报告结构（可视化图表 → 数据解读 → 归因分析 → 运营建议）。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2C4A7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b/>
      <w:bCs/>
      <w:color w:val="1F4E79"/>
      <w:sz w:val="40"/>
      <w:szCs w:val="40"/>
    </w:rPr>
  </w:style>
  <w:style w:type="paragraph" w:styleId="Heading3">
    <w:name w:val="Heading 3"/>
    <w:basedOn w:val="Normal"/>
    <w:next w:val="Normal"/>
    <w:qFormat/>
    <w:pPr>
      <w:spacing w:after="140" w:before="280"/>
    </w:pPr>
    <w:rPr>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ccf01fdba5fc248cdbea4d8cd5836658225128.png"/><Relationship Id="rId8" Type="http://schemas.openxmlformats.org/officeDocument/2006/relationships/image" Target="media/c49e53358236b9304ddb9b070b1bbe6108a2f11b.png"/><Relationship Id="rId9" Type="http://schemas.openxmlformats.org/officeDocument/2006/relationships/image" Target="media/a2f0f2f7d608e899134b9445d6b38f57b5d73edc.png"/><Relationship Id="rId10" Type="http://schemas.openxmlformats.org/officeDocument/2006/relationships/image" Target="media/918432062812e9a54387e91e3e671236b50125f3.png"/><Relationship Id="rId11" Type="http://schemas.openxmlformats.org/officeDocument/2006/relationships/image" Target="media/6ac0728da08bf26347756402cb013579d22f44fd.png"/><Relationship Id="rId12" Type="http://schemas.openxmlformats.org/officeDocument/2006/relationships/image" Target="media/3d91c12a7c8ef48dcc9261e5c9b87edae9537071.png"/><Relationship Id="rId13" Type="http://schemas.openxmlformats.org/officeDocument/2006/relationships/image" Target="media/9d7052c8c5ec00d6eb5414da2413c09e6eb5c5cf.png"/><Relationship Id="rId14" Type="http://schemas.openxmlformats.org/officeDocument/2006/relationships/image" Target="media/27e1bd7fa175f70e9f5d3f219ab320e80bd6c620.png"/><Relationship Id="rId15" Type="http://schemas.openxmlformats.org/officeDocument/2006/relationships/image" Target="media/13e3e8f4345833c7f614d048a14f8c9a9df8e0ee.png"/><Relationship Id="rId16" Type="http://schemas.openxmlformats.org/officeDocument/2006/relationships/image" Target="media/aea8cb3bcedc16479ddfef395d93f25ac266c78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2026-08-26T16:50:34.521Z</dcterms:created>
  <dcterms:modified xsi:type="dcterms:W3CDTF">2026-08-26T16:50:34.521Z</dcterms:modified>
</cp:coreProperties>
</file>

<file path=docProps/custom.xml><?xml version="1.0" encoding="utf-8"?>
<Properties xmlns="http://schemas.openxmlformats.org/officeDocument/2006/custom-properties" xmlns:vt="http://schemas.openxmlformats.org/officeDocument/2006/docPropsVTypes"/>
</file>