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E31A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文献阅读整理Agent系统概要设计说明书</w:t>
      </w:r>
    </w:p>
    <w:p w14:paraId="6D643EC1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>.1 系统总体架构设计</w:t>
      </w:r>
      <w:bookmarkEnd w:id="0"/>
    </w:p>
    <w:p w14:paraId="4A4FB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本文献阅读整理Agent系统为轻量化桌面端独立应用，基于C/S（客户端/服务器）架构设计，全程本地化运行，无云端数据传输，适配Windows全系列主流系统。系统采用分层模块化设计思想，</w:t>
      </w:r>
      <w:r>
        <w:rPr>
          <w:rFonts w:hint="eastAsia" w:ascii="Arial" w:hAnsi="Arial" w:eastAsia="等线" w:cs="Arial"/>
          <w:sz w:val="22"/>
        </w:rPr>
        <w:t>整体分为界面展示层、业务逻辑层、Agent 编排层、工具解析层、数据持久层五层架构，各层级职责清晰、低耦合高内聚，有效提升系统稳定性、可扩展性与可维护性，适配轻量化桌面应用运行需求。</w:t>
      </w:r>
    </w:p>
    <w:p w14:paraId="07ECD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各层级具体功能设计如下：</w:t>
      </w:r>
    </w:p>
    <w:p w14:paraId="3B112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（1）界面展示层（UI层）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基于PyQt5搭建可视化GUI操作界面，是用户与系统交互的唯一入口。采用双栏主窗口+QStackedWidget页面堆栈切换，集成功能分区界面、参数配置界面、资源展示界面、笔记编辑界面等，实现文献导入、智能解析、分类检索、笔记批注、导出备份、系统配置等全功能可视化操作。支持浅/深主题一键切换、QThread异步耗时操作、页面内进度条实时推送中文状态。</w:t>
      </w:r>
    </w:p>
    <w:p w14:paraId="3CC83C6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（2）业务逻辑层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系统核心功能处理层级，承接界面层用户操作指令，调度下层工具与数据模块。包含文献导入管理、智能解析处理、分类检索管控、笔记批注管理、导出备份控制、分类标签管理、解析规则配置、系统参数配置八大核心业务模块，负责各类业务逻辑校验、流程调度、功能联动。所有对外接口统一返回(code,data,msg)三元组。智能解析模块统一调用Agent编排层；Agent 异常或遇到致命错误时自动回退本地规则解析，保证解析不中断。</w:t>
      </w:r>
    </w:p>
    <w:p w14:paraId="5F9B1F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22"/>
        </w:rPr>
        <w:t>（3）Agent编排层</w:t>
      </w:r>
      <w:r>
        <w:rPr>
          <w:rFonts w:hint="eastAsia" w:ascii="Arial" w:hAnsi="Arial" w:eastAsia="等线" w:cs="Arial"/>
          <w:b w:val="0"/>
          <w:bCs/>
          <w:sz w:val="22"/>
        </w:rPr>
        <w:t>：</w:t>
      </w:r>
      <w:r>
        <w:rPr>
          <w:rFonts w:hint="eastAsia" w:ascii="Arial" w:hAnsi="Arial" w:eastAsia="等线" w:cs="Arial"/>
          <w:sz w:val="22"/>
        </w:rPr>
        <w:t>LangGraph状态图构建的文献解析Agent，是系统唯一AI解析入口。状态图拓扑固定为Plan→Act→Observe→Reflect⇄Verify→(Refine)⇄Verify→Finish完整循环；默认编译为无持久化图，同进程中断恢复可传入MemorySaver。Agent内部通过Director编排器统一调度三级能力：①AI原件直传——将文献原件直接交给AI模型通读，AI在通读过程中通过function calling自主调用中间件工具（表格提取、页面OCR、章节识别等）完成取证，标准路径全程仅需1次通读AI调用；②全文文本通道——原件通道不可用时，本地提取全文后发送给AI通读；③纯本地规则解析——无AI模型或Agent致命异常时的兜底路径。Director首轮播种确定性排队，通读成功后跑条件本地尾部，尾部结束后仍缺维度才进单步兜底循环。三重反幻觉校验：完整性（启用维度均有内容）、一致性（AI解读与本地章节词集交叉比对，长度悬殊+重叠度过低同时成立才判矛盾，本地章节过短时不参与比对）、溯源（双向覆盖率：AI侧词命中比例≥0.35且共同词≥3或本地侧≥0.15，任一通过即通过）；原件通读成功且非本地权威维度齐全时走信任旁路仅查完整性，全文为空仍判致命防止落库"成功的空报告"。Refine补救按"维度×问题类型"计数，单维度同类型最多补救2次，超限带告警收尾。参考文献是结构化条目，由本地规则权威提取，AI不覆盖；关键词由本地jieba分词提取入库，AI返回的关键词仅作参考。</w:t>
      </w:r>
    </w:p>
    <w:p w14:paraId="53D6785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（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>）工具解析层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系统智能化核心支撑层级，集成各类开源工具实现文献智能处理能力。依托PyPDF2、pdfplumber、PyMuPDF实现多格式文献文本解析、PDF原貌渲染与版式视觉感知；通过jieba分词完成本地权威关键词提取与三重校验的一致性比对；集成表格结构化提取能力实现PDF与DOCX的统一GitHub风格Markdown输出；集成OCR双轨通道；通过AI模型HTTP客户端实现OpenAI兼容协议通信：支持四种原件直传模式持久化配置（auto/file_id/file_data/none），auto模式下使用内置微型PDF实测探测模型能力，JSON容错解析，AI密钥Fernet加密存储；支持原件通读工具、全文深度解读工具、单页OCR、章节识别、全文提取、表格提取、关键词提取、版式抽样体检等中间件工具；文件导出、路径安全校验与路径迁移辅助能力。</w:t>
      </w:r>
    </w:p>
    <w:p w14:paraId="45BC2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）数据持久层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采用轻量级SQLite本地数据库，负责系统所有业务数据的本地化存储与读写管理。使用单例连接+参数化查询（?占位符），9张表+18个索引。主要存储文献基础信息、解析报告数据、笔记批注内容、分类标签配置、系统参数设置、操作日志、备份记录、文献-标签中间表等全量数据。</w:t>
      </w:r>
    </w:p>
    <w:p w14:paraId="1E897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系统总体架构图如下图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-1所示。</w:t>
      </w:r>
    </w:p>
    <w:p w14:paraId="3522A973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-1 系统总体架构图</w:t>
      </w:r>
    </w:p>
    <w:p w14:paraId="7D638C30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271135" cy="505523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032B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>.2 系统功能模块设计</w:t>
      </w:r>
      <w:bookmarkEnd w:id="1"/>
    </w:p>
    <w:p w14:paraId="392C6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结合系统需求分析结果，遵循高内聚、低耦合的设计原则，对文献阅读整理Agent系统进行功能模块拆分。系统整体分为</w:t>
      </w:r>
      <w:r>
        <w:rPr>
          <w:rFonts w:ascii="Arial" w:hAnsi="Arial" w:eastAsia="等线" w:cs="Arial"/>
          <w:b w:val="0"/>
          <w:bCs/>
          <w:sz w:val="22"/>
        </w:rPr>
        <w:t>核心业务功能模块与系统配置管理模块</w:t>
      </w:r>
      <w:r>
        <w:rPr>
          <w:rFonts w:ascii="Arial" w:hAnsi="Arial" w:eastAsia="等线" w:cs="Arial"/>
          <w:sz w:val="22"/>
        </w:rPr>
        <w:t>两大板块，涵盖</w:t>
      </w:r>
      <w:r>
        <w:rPr>
          <w:rFonts w:hint="eastAsia" w:ascii="Arial" w:hAnsi="Arial" w:eastAsia="等线" w:cs="Arial"/>
          <w:sz w:val="22"/>
          <w:lang w:val="en-US" w:eastAsia="zh-CN"/>
        </w:rPr>
        <w:t>九</w:t>
      </w:r>
      <w:r>
        <w:rPr>
          <w:rFonts w:ascii="Arial" w:hAnsi="Arial" w:eastAsia="等线" w:cs="Arial"/>
          <w:sz w:val="22"/>
        </w:rPr>
        <w:t>大细分功能模块，全方位覆盖大学生文献导入、解析、管理、批注、导出、配置全流程学术场景。各模块独立运行、相互联动，共同实现系统智能化、本地化文献整理核心目标。</w:t>
      </w:r>
      <w:bookmarkStart w:id="17" w:name="_GoBack"/>
      <w:bookmarkEnd w:id="17"/>
    </w:p>
    <w:p w14:paraId="60517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系统核心功能模块划分如下：</w:t>
      </w:r>
    </w:p>
    <w:p w14:paraId="22B1860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文献导入功能模块：负责多格式文献单篇/批量导入、文件校验、元数据自动抓取与文献入库；</w:t>
      </w:r>
    </w:p>
    <w:p w14:paraId="75A4E3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智能文献解析模块：实现多学科文献结构化解析、核心信息提炼、标准化报告生成；</w:t>
      </w:r>
    </w:p>
    <w:p w14:paraId="3E46D3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文献分类检索模块：支持自定义分类标签、文献归类、多维度模糊检索；</w:t>
      </w:r>
    </w:p>
    <w:p w14:paraId="6F3214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文献笔记批注模块：提供在线笔记编辑、原文段落批注、高亮划线、内容联动保存；</w:t>
      </w:r>
    </w:p>
    <w:p w14:paraId="3EB280F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 资料导出备份模块：实现报告、笔记多格式导出，本地数据一键备份与异常恢复；</w:t>
      </w:r>
    </w:p>
    <w:p w14:paraId="6B8293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6. 分类标签管理模块：支持分类目录、个性化标签的新增、修改、删除与批量绑定；</w:t>
      </w:r>
    </w:p>
    <w:p w14:paraId="64A0B0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7. 解析规则配置模块：实现多学科解析规则自定义、解析维度与权重调整；</w:t>
      </w:r>
    </w:p>
    <w:p w14:paraId="1E59B4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8. 存储路径配置模块：支持各类文件存储路径自定义、存储空间监控与路径迁移；</w:t>
      </w:r>
    </w:p>
    <w:p w14:paraId="04FB995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9. 系统设置管理模块：提供界面、功能、备份、检索等全维度个性化参数配置。</w:t>
      </w:r>
    </w:p>
    <w:p w14:paraId="28D88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系统功能模块图如下图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-2所示。</w:t>
      </w:r>
    </w:p>
    <w:p w14:paraId="37E0D98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-2 系统功能模块图</w:t>
      </w:r>
    </w:p>
    <w:p w14:paraId="5CFDA56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2" w:name="heading_3"/>
      <w:r>
        <w:drawing>
          <wp:inline distT="0" distB="0" distL="114300" distR="114300">
            <wp:extent cx="5240655" cy="694690"/>
            <wp:effectExtent l="0" t="0" r="1905" b="635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ABEE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>.3 系统流程设计</w:t>
      </w:r>
      <w:bookmarkEnd w:id="2"/>
    </w:p>
    <w:p w14:paraId="38882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明确系统核心业务的运行逻辑与数据交互规则，保证用户操作流畅、数据流转准确，本节针对系统高频核心功能，设计对应的业务活动图与时序图，涵盖文献导入、智能文献解析、文献笔记批注、资料导出备份、文献分类检索五大核心流程。</w:t>
      </w:r>
    </w:p>
    <w:p w14:paraId="5C1778D3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.3.1 文献导入流程设计</w:t>
      </w:r>
      <w:bookmarkEnd w:id="3"/>
    </w:p>
    <w:p w14:paraId="2B52F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文献导入是系统基础核心流程，用户可选择单篇或批量导入PDF、TXT、Word格式文献，系统自动完成文件校验、元数据抓取、数据入库操作，对异常文件进行精准提示，保障文献资源合规入库。</w:t>
      </w:r>
    </w:p>
    <w:p w14:paraId="20D32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文献导入活动图、时序图分别如图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3、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4所示。</w:t>
      </w:r>
    </w:p>
    <w:p w14:paraId="55AA4E4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3 文献导入活动图</w:t>
      </w:r>
    </w:p>
    <w:p w14:paraId="5642A079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272405" cy="4531995"/>
            <wp:effectExtent l="0" t="0" r="4445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82F1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4 文献导入时序图</w:t>
      </w:r>
    </w:p>
    <w:p w14:paraId="67786878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drawing>
          <wp:inline distT="0" distB="0" distL="114300" distR="114300">
            <wp:extent cx="5267960" cy="4079240"/>
            <wp:effectExtent l="0" t="0" r="8890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0"/>
          <w:lang w:eastAsia="zh-CN"/>
        </w:rPr>
        <w:t>1.3</w:t>
      </w:r>
      <w:r>
        <w:rPr>
          <w:rFonts w:ascii="Arial" w:hAnsi="Arial" w:eastAsia="等线" w:cs="Arial"/>
          <w:b/>
          <w:sz w:val="30"/>
        </w:rPr>
        <w:t>.2 智能文献解析流程设计</w:t>
      </w:r>
      <w:bookmarkEnd w:id="4"/>
    </w:p>
    <w:p w14:paraId="4F1B3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智能文献解析是系统核心智能化流程，针对已入库合规文献，调用默认或用户自定义解析规则，自动拆分文献结构、提炼核心学术信息，生成结构化解读报告并绑定原文保存。</w:t>
      </w:r>
    </w:p>
    <w:p w14:paraId="6AA75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智能文献解析活动图、时序图分别如图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5、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6所示。</w:t>
      </w:r>
    </w:p>
    <w:p w14:paraId="02457ED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5 智能文献解析活动图</w:t>
      </w:r>
    </w:p>
    <w:p w14:paraId="2537636F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70500" cy="4892040"/>
            <wp:effectExtent l="0" t="0" r="6350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6 智能文献解析时序图</w:t>
      </w:r>
    </w:p>
    <w:p w14:paraId="1813CAE3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drawing>
          <wp:inline distT="0" distB="0" distL="114300" distR="114300">
            <wp:extent cx="5257800" cy="4144645"/>
            <wp:effectExtent l="0" t="0" r="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0"/>
          <w:lang w:eastAsia="zh-CN"/>
        </w:rPr>
        <w:t>1.3</w:t>
      </w:r>
      <w:r>
        <w:rPr>
          <w:rFonts w:ascii="Arial" w:hAnsi="Arial" w:eastAsia="等线" w:cs="Arial"/>
          <w:b/>
          <w:sz w:val="30"/>
        </w:rPr>
        <w:t>.3 文献分类检索流程设计</w:t>
      </w:r>
      <w:bookmarkEnd w:id="5"/>
    </w:p>
    <w:p w14:paraId="06DB7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文献分类检索流程分为分类管理与关键词检索两个子流程，用户可自定义分类标签归类文献，也可通过多维度关键词快速检索目标文献，实现文献精细化管理与快速定位。</w:t>
      </w:r>
    </w:p>
    <w:p w14:paraId="195FE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文献分类检索活动图、时序图分别如图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7、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8所示。</w:t>
      </w:r>
    </w:p>
    <w:p w14:paraId="122D6E0D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7 文献分类检索活动图</w:t>
      </w:r>
    </w:p>
    <w:p w14:paraId="370C22EB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72405" cy="4142105"/>
            <wp:effectExtent l="0" t="0" r="444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8 文献分类检索时序图</w:t>
      </w:r>
    </w:p>
    <w:p w14:paraId="00E69387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drawing>
          <wp:inline distT="0" distB="0" distL="114300" distR="114300">
            <wp:extent cx="5261610" cy="4937760"/>
            <wp:effectExtent l="0" t="0" r="1524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0"/>
          <w:lang w:eastAsia="zh-CN"/>
        </w:rPr>
        <w:t>1.3</w:t>
      </w:r>
      <w:r>
        <w:rPr>
          <w:rFonts w:ascii="Arial" w:hAnsi="Arial" w:eastAsia="等线" w:cs="Arial"/>
          <w:b/>
          <w:sz w:val="30"/>
        </w:rPr>
        <w:t>.4 文献笔记批注流程设计</w:t>
      </w:r>
      <w:bookmarkEnd w:id="6"/>
    </w:p>
    <w:p w14:paraId="075BA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文献笔记批注流程实现原文与笔记联动功能，用户可在线对文献段落进行批注、笔记编辑、高亮划线，所有操作实时本地保存，精准绑定对应原文段落。</w:t>
      </w:r>
    </w:p>
    <w:p w14:paraId="0A377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文献笔记批注活动图、时序图分别如图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9、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10所示。</w:t>
      </w:r>
    </w:p>
    <w:p w14:paraId="15AA002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9 文献笔记批注活动图</w:t>
      </w:r>
    </w:p>
    <w:p w14:paraId="2AAC5842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8595" cy="4135120"/>
            <wp:effectExtent l="0" t="0" r="8255" b="177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10 文献笔记批注时序图</w:t>
      </w:r>
    </w:p>
    <w:p w14:paraId="7B71D91D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drawing>
          <wp:inline distT="0" distB="0" distL="114300" distR="114300">
            <wp:extent cx="5269230" cy="4874895"/>
            <wp:effectExtent l="0" t="0" r="7620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0"/>
          <w:lang w:eastAsia="zh-CN"/>
        </w:rPr>
        <w:t>1.3</w:t>
      </w:r>
      <w:r>
        <w:rPr>
          <w:rFonts w:ascii="Arial" w:hAnsi="Arial" w:eastAsia="等线" w:cs="Arial"/>
          <w:b/>
          <w:sz w:val="30"/>
        </w:rPr>
        <w:t>.5 资料导出备份流程设计</w:t>
      </w:r>
      <w:bookmarkEnd w:id="7"/>
    </w:p>
    <w:p w14:paraId="08726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资料导出备份流程包含资料导出与数据备份恢复两大核心操作，支持用户自定义导出格式与存储路径，实现全量数据一键备份与异常恢复，保障学术资源安全。</w:t>
      </w:r>
    </w:p>
    <w:p w14:paraId="21C6E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资料导出备份活动图、时序图分别如图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11、</w:t>
      </w:r>
      <w:r>
        <w:rPr>
          <w:rFonts w:hint="eastAsia" w:ascii="Arial" w:hAnsi="Arial" w:eastAsia="等线" w:cs="Arial"/>
          <w:sz w:val="22"/>
          <w:lang w:eastAsia="zh-CN"/>
        </w:rPr>
        <w:t>1-</w:t>
      </w:r>
      <w:r>
        <w:rPr>
          <w:rFonts w:ascii="Arial" w:hAnsi="Arial" w:eastAsia="等线" w:cs="Arial"/>
          <w:sz w:val="22"/>
        </w:rPr>
        <w:t>12所示。</w:t>
      </w:r>
    </w:p>
    <w:p w14:paraId="3E9F260D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11 资料导出备份活动图</w:t>
      </w:r>
    </w:p>
    <w:p w14:paraId="79D0ABA7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72405" cy="5354320"/>
            <wp:effectExtent l="0" t="0" r="4445" b="1778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eastAsia="zh-CN"/>
        </w:rPr>
        <w:t>1-</w:t>
      </w:r>
      <w:r>
        <w:rPr>
          <w:rFonts w:ascii="Arial" w:hAnsi="Arial" w:eastAsia="等线" w:cs="Arial"/>
          <w:b/>
          <w:sz w:val="22"/>
        </w:rPr>
        <w:t>12 资料导出备份时序图</w:t>
      </w:r>
    </w:p>
    <w:p w14:paraId="0B0EA03F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drawing>
          <wp:inline distT="0" distB="0" distL="114300" distR="114300">
            <wp:extent cx="5256530" cy="6940550"/>
            <wp:effectExtent l="0" t="0" r="1270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94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2"/>
        </w:rPr>
        <w:t>4.4 数据库逻辑结构设计</w:t>
      </w:r>
      <w:bookmarkEnd w:id="8"/>
    </w:p>
    <w:p w14:paraId="0914727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本系统采用 SQLite 轻量级本地数据库，全程本地化存储数据，无云端同步，保障用户隐私安全。共 9 张表 + 18 个索引，按外键依赖顺序建表。所有字段严格使用参数化查询（? 占位符），禁止 f-string 拼 SQL。</w:t>
      </w:r>
    </w:p>
    <w:p w14:paraId="0F6ACD1A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4.4.1 文献信息表（literature_info）</w:t>
      </w:r>
      <w:bookmarkEnd w:id="9"/>
    </w:p>
    <w:p w14:paraId="2C068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本表用于存储用户导入的所有学术文献基础信息，包含文献元数据、文件路径、基础属性等，是系统核心基础数据表，支撑文献展示、解析、检索、归类等全功能业务。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1937"/>
        <w:gridCol w:w="2048"/>
        <w:gridCol w:w="2280"/>
      </w:tblGrid>
      <w:tr w14:paraId="2FFB8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150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0" w:name="heading_11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588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19C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B0A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540A4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E2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4C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40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7A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9B9E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1A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E4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38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B2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4B1F6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43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literature_author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30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46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80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97DB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44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C0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EB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发表时间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65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665EF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73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journal_source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4A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0C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期刊来源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7B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10164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E0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E5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08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格式 PDF/TXT/DOCX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CC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68806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7A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file_path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D0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C2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相对路径（按 system_config 还原）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45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4C93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57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00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5D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文件字节数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DB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109A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EF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file_hash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E3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7F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SHA256 哈希（精确去重）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68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5A908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49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6D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6C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分类（0 未分类）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F3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F467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C3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is_parsed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7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47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是否已解析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36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5B2A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E0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19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C7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75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  <w:tr w14:paraId="1EB98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08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28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2F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A2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7AB5698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4.4.2 文献解析报告表（literature_report）</w:t>
      </w:r>
      <w:bookmarkEnd w:id="10"/>
    </w:p>
    <w:p w14:paraId="03CB0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本表用于存储系统智能解析生成的结构化文献报告，关联对应文献ID，记录文献核心解析内容，支持报告预览、导出、二次编辑。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0"/>
        <w:gridCol w:w="2221"/>
        <w:gridCol w:w="1524"/>
        <w:gridCol w:w="2280"/>
      </w:tblGrid>
      <w:tr w14:paraId="0D37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C8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1" w:name="heading_12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49A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281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CF4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35D87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17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3D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E4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2D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8304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73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9E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 FK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D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 ID，级联删除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23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BE44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6B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research_background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3A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BD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54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B73E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98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core_view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CB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55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24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07A3C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E6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research_method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24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2B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C7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2AF5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87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innovation_point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07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3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创新点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F5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0E786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CD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research_conclusion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0C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65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研究结论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C5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02713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61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reference_list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83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FE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参考文献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5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E1A9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D8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5B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99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关键词列表（v3 迁移新增）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08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005DE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D4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parse_time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86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B6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8D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  <w:tr w14:paraId="7A238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E7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E9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FK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E0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所用规则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26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6181731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hint="eastAsia" w:ascii="Arial" w:hAnsi="Arial" w:eastAsia="等线" w:cs="Arial"/>
          <w:b/>
          <w:sz w:val="30"/>
          <w:lang w:eastAsia="zh-CN"/>
        </w:rPr>
        <w:t>.3</w:t>
      </w:r>
      <w:r>
        <w:rPr>
          <w:rFonts w:ascii="Arial" w:hAnsi="Arial" w:eastAsia="等线" w:cs="Arial"/>
          <w:b/>
          <w:sz w:val="30"/>
        </w:rPr>
        <w:t xml:space="preserve"> 笔记批注表（literature_note）</w:t>
      </w:r>
      <w:bookmarkEnd w:id="11"/>
    </w:p>
    <w:p w14:paraId="6C53B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本表存储用户对文献编辑的笔记、批注、高亮标注等内容，精准关联文献ID与原文段落位置，实现笔记与原文联动复用。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4"/>
        <w:gridCol w:w="1734"/>
        <w:gridCol w:w="2653"/>
        <w:gridCol w:w="2194"/>
      </w:tblGrid>
      <w:tr w14:paraId="18F55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65C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2" w:name="heading_13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D83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E903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697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4D08B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AC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2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62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D8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DF2C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E7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6B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 FK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B7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82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0243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34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paragraph_pos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07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AD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锚点：pdf:page:x1,y1,x2,y2 /pdfh:page:start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 /global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8E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7C5D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78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note_content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60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DF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笔记内容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7B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2D2C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57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F4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B7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paragraph / global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CC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'paragraph'</w:t>
            </w:r>
          </w:p>
        </w:tc>
      </w:tr>
      <w:tr w14:paraId="6AC95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85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highlight_style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89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E5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2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40B32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09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21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65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DB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  <w:tr w14:paraId="5C8B1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DE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0F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3D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90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5CA5001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4.4.4 分类标签表（category_tag）</w:t>
      </w:r>
      <w:bookmarkEnd w:id="12"/>
    </w:p>
    <w:p w14:paraId="6A6411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本表存储用户自定义的文献分类目录与个性化标签信息，支撑文献精细化归类管理，记录分类层级、标签样式等配置信息。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2761"/>
        <w:gridCol w:w="1944"/>
        <w:gridCol w:w="2280"/>
      </w:tblGrid>
      <w:tr w14:paraId="090CE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23C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20A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529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1AD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5B86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B7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A2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71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8920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77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EF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B2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= 分类，2 = 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B2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4AC5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07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E0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52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CC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4FF2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99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1C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89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展示颜色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D3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'#000000'</w:t>
            </w:r>
          </w:p>
        </w:tc>
      </w:tr>
      <w:tr w14:paraId="09787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5F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46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62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父级（顶级 0）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92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7D89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8B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sort_order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3F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B1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FF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9C53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9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62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6F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05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3DE96BE0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4.4.5 解析规则配置表（parse_rule）</w:t>
      </w:r>
      <w:bookmarkEnd w:id="13"/>
    </w:p>
    <w:p w14:paraId="4EDAC4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本表存储系统默认及用户自定义的文献解析规则，包含学科适配类型、解析维度、权重、精度等配置，支撑多学科差异化解析。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809"/>
        <w:gridCol w:w="2416"/>
        <w:gridCol w:w="2280"/>
      </w:tblGrid>
      <w:tr w14:paraId="6C8D3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76A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4" w:name="heading_15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74C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7C3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2D3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714EC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57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0E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DA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84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AE98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0E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F3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F2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5B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B163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58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subject_type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13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8A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适配学科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38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 通用'</w:t>
            </w:r>
          </w:p>
        </w:tc>
      </w:tr>
      <w:tr w14:paraId="086DB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60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rule_detail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A4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B2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JSON：{dimensions:{...}, weights:{...}}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1E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'{}'</w:t>
            </w:r>
          </w:p>
        </w:tc>
      </w:tr>
      <w:tr w14:paraId="7DAB6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A6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precision_level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47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8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精度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A3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7A3C1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95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is_default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6D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4A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是否默认（仅 1 条）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22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CAB3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4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C7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9E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5E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79BD69E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4.4.6 系统配置表（system_config）</w:t>
      </w:r>
      <w:bookmarkEnd w:id="14"/>
    </w:p>
    <w:p w14:paraId="02358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本表存储系统全量个性化配置参数，包含存储路径、界面样式、备份周期、自动保存频率等，所有配置本地持久化保存。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264"/>
        <w:gridCol w:w="2321"/>
        <w:gridCol w:w="2280"/>
      </w:tblGrid>
      <w:tr w14:paraId="496F2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316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5" w:name="heading_1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1B3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F8B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71F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7982B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36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FA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29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9A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0AC4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5B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config_key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E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 NOT NULL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BF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33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00FD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D3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00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AC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值（支持 JSON 存多 AI 模型配置，密钥 Fernet 加密）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2A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57F75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18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config_desc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54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51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ED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18B72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12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A2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26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15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04B7A0D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4.4.7 操作日志表（operation_log）</w:t>
      </w:r>
      <w:bookmarkEnd w:id="15"/>
    </w:p>
    <w:p w14:paraId="5F2ECA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</w:t>
      </w:r>
      <w:r>
        <w:rPr>
          <w:rFonts w:hint="eastAsia" w:ascii="Arial" w:hAnsi="Arial" w:eastAsia="等线" w:cs="Arial"/>
          <w:sz w:val="22"/>
        </w:rPr>
        <w:t>记录用户全部系统操作行为，包含文献导入解析、导出备份、配置修改、删除操作等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用于操作追溯、故障排查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187"/>
        <w:gridCol w:w="2038"/>
        <w:gridCol w:w="2280"/>
      </w:tblGrid>
      <w:tr w14:paraId="06A1F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6A5C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6" w:name="heading_17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A7D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801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A64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1E650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06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53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B2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4D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26F6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03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65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F2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导入 / 解析 / 导出 / 删除 / 配置修改...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B6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4DC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A9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49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64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76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</w:tr>
      <w:tr w14:paraId="04BAC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23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13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84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关联文献（0 = 无）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E1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5B5B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DC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BD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86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28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  <w:tr w14:paraId="7264D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73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A7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D5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= 成功 0 = 失败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E6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2E74147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8</w:t>
      </w:r>
      <w:r>
        <w:rPr>
          <w:rFonts w:ascii="Arial" w:hAnsi="Arial" w:eastAsia="等线" w:cs="Arial"/>
          <w:b/>
          <w:sz w:val="30"/>
        </w:rPr>
        <w:t xml:space="preserve"> </w:t>
      </w:r>
      <w:r>
        <w:rPr>
          <w:rFonts w:hint="eastAsia" w:ascii="Arial" w:hAnsi="Arial" w:eastAsia="等线" w:cs="Arial"/>
          <w:b/>
          <w:sz w:val="30"/>
        </w:rPr>
        <w:t>备份记录表（backup_record）</w:t>
      </w:r>
    </w:p>
    <w:p w14:paraId="1515632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本表</w:t>
      </w:r>
      <w:r>
        <w:rPr>
          <w:rFonts w:hint="eastAsia" w:ascii="Arial" w:hAnsi="Arial" w:eastAsia="等线" w:cs="Arial"/>
          <w:sz w:val="22"/>
        </w:rPr>
        <w:t>记录每一次本地备份任务元信息，保存备份文件名、存储路径、大小、备份类型（全量 / 增量）、备份范围、执行结果状态；用于备份历史列表展示、备份文件校验、恢复功能调用。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2386"/>
        <w:gridCol w:w="2079"/>
        <w:gridCol w:w="2280"/>
      </w:tblGrid>
      <w:tr w14:paraId="0FC21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E97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A68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908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93A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23FB2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CA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62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8E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2A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54CB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70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08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DD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备份文件名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66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A865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3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backup_path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E9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0C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完整路径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95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315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4C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backup_size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A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D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5F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B6B4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57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7B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BD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 / incr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B7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'full'</w:t>
            </w:r>
          </w:p>
        </w:tc>
      </w:tr>
      <w:tr w14:paraId="44878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1B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content_scope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8B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77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all / lit+report / ...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47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'all'</w:t>
            </w:r>
          </w:p>
        </w:tc>
      </w:tr>
      <w:tr w14:paraId="583B1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E3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7F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85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备份时间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6E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  <w:tr w14:paraId="35853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7F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2A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EA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= 成功 0 = 失败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AD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775E6C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 xml:space="preserve"> </w:t>
      </w:r>
      <w:r>
        <w:rPr>
          <w:rFonts w:hint="eastAsia" w:ascii="Arial" w:hAnsi="Arial" w:eastAsia="等线" w:cs="Arial"/>
          <w:b/>
          <w:sz w:val="30"/>
        </w:rPr>
        <w:t>文献‑标签中间表（literature_tag）</w:t>
      </w:r>
    </w:p>
    <w:p w14:paraId="304E5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本表</w:t>
      </w:r>
      <w:r>
        <w:rPr>
          <w:rFonts w:hint="eastAsia" w:ascii="Arial" w:hAnsi="Arial" w:eastAsia="等线" w:cs="Arial"/>
          <w:sz w:val="22"/>
        </w:rPr>
        <w:t>实现文献与标签多对多关系，一篇文献可以绑定多个标签，同一个标签可以作用多篇文献；设置联合唯一约束，避免同一文献重复绑定相同标签；设置外键级联删除，当文献 / 标签被删除时自动清除绑定记录。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2691"/>
        <w:gridCol w:w="1774"/>
        <w:gridCol w:w="2280"/>
      </w:tblGrid>
      <w:tr w14:paraId="5E99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50E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338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C94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CF9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</w:tr>
      <w:tr w14:paraId="55CFD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F4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28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PK AUTOINCREMENT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71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6B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36EA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DE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literature_id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F9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 FK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FF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 ID，级联删除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7D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2B75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41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1E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NOT NULL FK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60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 ID，级联删除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AE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BA08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4B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bind_time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97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 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93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37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CURRENT_TIMESTAMP</w:t>
            </w:r>
          </w:p>
        </w:tc>
      </w:tr>
    </w:tbl>
    <w:p w14:paraId="30D4858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4.5 本章小结</w:t>
      </w:r>
      <w:bookmarkEnd w:id="16"/>
    </w:p>
    <w:p w14:paraId="082B6F6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章完成了文献阅读整理Agent系统的完整概要设计工作。首先搭建五层分层系统总体架构，明确各层级职责与交互逻辑，保障系统轻量化、低耦合运行；其次完成九大核心功能模块拆分，清晰划分系统功能体系；随后梳理五大核心业务流程，通过活动图与时序图完整呈现用户操作逻辑与系统数据交互流程；最后基于系统业务需求，设计九张核心数据库数据表，规范各字段属性、18 个索引与外键级联关系，完成数据库逻辑结构设计。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1C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3B2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567EB5"/>
    <w:rsid w:val="0FA74BC7"/>
    <w:rsid w:val="10C06AEA"/>
    <w:rsid w:val="2A602AE0"/>
    <w:rsid w:val="2DEE13AA"/>
    <w:rsid w:val="33F22ACC"/>
    <w:rsid w:val="37132DDB"/>
    <w:rsid w:val="3CC316B6"/>
    <w:rsid w:val="4E412E95"/>
    <w:rsid w:val="52750905"/>
    <w:rsid w:val="60815610"/>
    <w:rsid w:val="627C2454"/>
    <w:rsid w:val="6B9F5595"/>
    <w:rsid w:val="768B16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3075</Words>
  <Characters>4480</Characters>
  <TotalTime>30</TotalTime>
  <ScaleCrop>false</ScaleCrop>
  <LinksUpToDate>false</LinksUpToDate>
  <CharactersWithSpaces>4608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2026-09-17T06:57:00Z</dcterms:created>
  <dc:creator>Apache POI</dc:creator>
  <cp:lastModifiedBy>坚1390396094</cp:lastModifiedBy>
  <dcterms:modified xsi:type="dcterms:W3CDTF">2026-10-10T10:42:15Z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{"Label":"1","ContentProducer":"001191110102MACQD9K64010000","ProduceID":"7686394665298398178","ReservedCode1":"","ContentPropagator":"","PropagateID":"","ReservedCode2":""}</vt:lpwstr>
  </property>
  <property fmtid="{D5CDD505-2E9C-101B-9397-08002B2CF9AE}" pid="3" name="KSOTemplateDocerSaveRecord">
    <vt:lpwstr>eyJoZGlkIjoiN2YzNjBkOTgyNWQ1YTMxYzM3MzMwNWFiODNmOWIzYWMiLCJ1c2VySWQiOiIxMDkzMTE4OSJ9</vt:lpwstr>
  </property>
  <property fmtid="{D5CDD505-2E9C-101B-9397-08002B2CF9AE}" pid="4" name="KSOProductBuildVer">
    <vt:lpwstr>2052-12.1.0.28488</vt:lpwstr>
  </property>
  <property fmtid="{D5CDD505-2E9C-101B-9397-08002B2CF9AE}" pid="5" name="ICV">
    <vt:lpwstr>005BC18BBBEC4F65BB81396932215A2F_12</vt:lpwstr>
  </property>
</Properties>
</file>