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 w:line="264" w:lineRule="auto"/>
      </w:pPr>
      <w:r>
        <w:rPr>
          <w:rFonts w:ascii="Calibri" w:hAnsi="Calibri" w:eastAsia="Microsoft YaHei"/>
          <w:b/>
          <w:color w:val="17365D"/>
          <w:sz w:val="50"/>
        </w:rPr>
        <w:t>经营日报及数据看板</w:t>
      </w:r>
    </w:p>
    <w:p>
      <w:pPr>
        <w:spacing w:before="0" w:after="240" w:line="264" w:lineRule="auto"/>
      </w:pPr>
      <w:r>
        <w:rPr>
          <w:rFonts w:ascii="Calibri" w:hAnsi="Calibri" w:eastAsia="Microsoft YaHei"/>
          <w:b/>
          <w:color w:val="2E74B5"/>
          <w:sz w:val="25"/>
        </w:rPr>
        <w:t>呈现内容规划方案（会议纪要、老板豆包思路与零售行业参考整合版）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667085"/>
          <w:sz w:val="19"/>
        </w:rPr>
        <w:t>规划目标：</w:t>
      </w:r>
      <w:r>
        <w:rPr>
          <w:rFonts w:ascii="Calibri" w:hAnsi="Calibri" w:eastAsia="Microsoft YaHei"/>
          <w:b w:val="0"/>
          <w:color w:val="1F2937"/>
          <w:sz w:val="19"/>
        </w:rPr>
        <w:t>建立面向老板、部门负责人和综合办的日/周/月经营管理简报体系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667085"/>
          <w:sz w:val="19"/>
        </w:rPr>
        <w:t>核心逻辑：</w:t>
      </w:r>
      <w:r>
        <w:rPr>
          <w:rFonts w:ascii="Calibri" w:hAnsi="Calibri" w:eastAsia="Microsoft YaHei"/>
          <w:b w:val="0"/>
          <w:color w:val="1F2937"/>
          <w:sz w:val="19"/>
        </w:rPr>
        <w:t>日盯运营、周抓管理、月看经营；经营数据自动抓取，管理事项人工确认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667085"/>
          <w:sz w:val="19"/>
        </w:rPr>
        <w:t>适用板块：</w:t>
      </w:r>
      <w:r>
        <w:rPr>
          <w:rFonts w:ascii="Calibri" w:hAnsi="Calibri" w:eastAsia="Microsoft YaHei"/>
          <w:b w:val="0"/>
          <w:color w:val="1F2937"/>
          <w:sz w:val="19"/>
        </w:rPr>
        <w:t>APR门店、Apple电商、舒尔电商、3PP销售/分销、内容营销、综合办/人事、财务</w:t>
      </w: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核心结论  </w:t>
      </w:r>
      <w:r>
        <w:rPr>
          <w:rFonts w:ascii="Calibri" w:hAnsi="Calibri" w:eastAsia="Microsoft YaHei"/>
          <w:b w:val="0"/>
          <w:color w:val="1F2937"/>
          <w:sz w:val="21"/>
        </w:rPr>
        <w:t>老板首页只看关键结果、变化、异常和待决策事项；详细数据按业务板块下钻。日报不做长篇分析，只做异常说明和当日动作；周报看趋势与差距，月报看经营质量与根因。</w:t>
      </w:r>
    </w:p>
    <w:p>
      <w:pPr>
        <w:pStyle w:val="Heading1"/>
        <w:keepNext/>
        <w:pageBreakBefore w:val="0"/>
      </w:pPr>
      <w:r>
        <w:t>一、整体设计原则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50"/>
        <w:gridCol w:w="1900"/>
        <w:gridCol w:w="2500"/>
        <w:gridCol w:w="221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数据颗粒度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核心输出</w:t>
            </w:r>
          </w:p>
        </w:tc>
        <w:tc>
          <w:tcPr>
            <w:tcW w:type="dxa" w:w="2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建议篇幅/形式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日报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当日运营快照、异常预警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到门店、渠道、产品线，必要时到SKU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结果、异常、事项、次日动作</w:t>
            </w:r>
          </w:p>
        </w:tc>
        <w:tc>
          <w:tcPr>
            <w:tcW w:type="dxa" w:w="22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老板看板一屏 + 明细下钻</w:t>
            </w:r>
          </w:p>
        </w:tc>
      </w:tr>
      <w:tr>
        <w:tc>
          <w:tcPr>
            <w:tcW w:type="dxa" w:w="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周报</w:t>
            </w:r>
          </w:p>
        </w:tc>
        <w:tc>
          <w:tcPr>
            <w:tcW w:type="dxa" w:w="185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周度经营复盘、管理动作检视</w:t>
            </w:r>
          </w:p>
        </w:tc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到业务板块、品类、渠道、门店</w:t>
            </w:r>
          </w:p>
        </w:tc>
        <w:tc>
          <w:tcPr>
            <w:tcW w:type="dxa" w:w="25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趋势、差距、原因、下周措施</w:t>
            </w:r>
          </w:p>
        </w:tc>
        <w:tc>
          <w:tcPr>
            <w:tcW w:type="dxa" w:w="22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3-5页或周度看板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月报</w:t>
            </w:r>
          </w:p>
        </w:tc>
        <w:tc>
          <w:tcPr>
            <w:tcW w:type="dxa" w:w="18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月度经营体检、战略对齐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财务口径全量汇总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经营质量、根因、策略、资源需求</w:t>
            </w:r>
          </w:p>
        </w:tc>
        <w:tc>
          <w:tcPr>
            <w:tcW w:type="dxa" w:w="221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8-12页或月度专题看板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经营结果与管理动作分开：ERP负责“数”，各部门负责“事”，AI负责“归纳、预警与建议”。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同一指标必须统一口径、数据源、更新时间和责任人，页面同步显示最后刷新时间。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日报看“红”的、周报看“变”的、月报看“差”的；正常数据简要呈现，异常数据必须落到责任人与动作。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看板实行分级权限：老板看全局，部门负责人看本板块，财务敏感数据仅老板与授权人员可见。</w:t>
      </w:r>
    </w:p>
    <w:p>
      <w:pPr>
        <w:pStyle w:val="Heading1"/>
        <w:keepNext/>
        <w:pageBreakBefore w:val="0"/>
      </w:pPr>
      <w:r>
        <w:t>二、日报与老板首页呈现内容</w:t>
      </w:r>
    </w:p>
    <w:p>
      <w:pPr>
        <w:pStyle w:val="Heading2"/>
        <w:keepNext/>
        <w:pageBreakBefore w:val="0"/>
      </w:pPr>
      <w:r>
        <w:t>2.1 公司经营总览（首页第一屏）</w:t>
      </w: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呈现要求  </w:t>
      </w:r>
      <w:r>
        <w:rPr>
          <w:rFonts w:ascii="Calibri" w:hAnsi="Calibri" w:eastAsia="Microsoft YaHei"/>
          <w:b w:val="0"/>
          <w:color w:val="1F2937"/>
          <w:sz w:val="21"/>
        </w:rPr>
        <w:t>首页控制在12-15个核心指标内，并同时显示目标、实际、偏差和趋势；单纯柱状图不能替代经营数字。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900"/>
        <w:gridCol w:w="3010"/>
      </w:tblGrid>
      <w:tr>
        <w:trPr>
          <w:tblHeader w:val="true"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老板首页核心指标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重点判断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销售结果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今日销售额、订单数、销量、客单价；月累计销售额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是否达标，较昨日及上周同日变化</w:t>
            </w:r>
          </w:p>
        </w:tc>
      </w:tr>
      <w:tr>
        <w:tc>
          <w:tcPr>
            <w:tcW w:type="dxa" w:w="145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利润结果</w:t>
            </w:r>
          </w:p>
        </w:tc>
        <w:tc>
          <w:tcPr>
            <w:tcW w:type="dxa" w:w="4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毛利额、毛利率、负毛利订单数</w:t>
            </w:r>
          </w:p>
        </w:tc>
        <w:tc>
          <w:tcPr>
            <w:tcW w:type="dxa" w:w="30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收入增长是否带来有效利润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目标进度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日目标达成率、月目标达成率、时间进度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经营进度是否落后时间进度</w:t>
            </w:r>
          </w:p>
        </w:tc>
      </w:tr>
      <w:tr>
        <w:tc>
          <w:tcPr>
            <w:tcW w:type="dxa" w:w="145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客流转化</w:t>
            </w:r>
          </w:p>
        </w:tc>
        <w:tc>
          <w:tcPr>
            <w:tcW w:type="dxa" w:w="4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线下客流/线上UV、成交订单、转化率</w:t>
            </w:r>
          </w:p>
        </w:tc>
        <w:tc>
          <w:tcPr>
            <w:tcW w:type="dxa" w:w="30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问题在流量还是转化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业务结构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各业务板块、渠道、门店、产品线销售和毛利占比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增长来源及结构变化</w:t>
            </w:r>
          </w:p>
        </w:tc>
      </w:tr>
      <w:tr>
        <w:tc>
          <w:tcPr>
            <w:tcW w:type="dxa" w:w="145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库存健康</w:t>
            </w:r>
          </w:p>
        </w:tc>
        <w:tc>
          <w:tcPr>
            <w:tcW w:type="dxa" w:w="4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库存金额、缺货、低库存、滞销、超期、残次及样机</w:t>
            </w:r>
          </w:p>
        </w:tc>
        <w:tc>
          <w:tcPr>
            <w:tcW w:type="dxa" w:w="30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是否占用资金或影响销售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资金与账务</w:t>
            </w:r>
          </w:p>
        </w:tc>
        <w:tc>
          <w:tcPr>
            <w:tcW w:type="dxa" w:w="4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当日收款/退款、应收应付、未入账、账实差异</w:t>
            </w:r>
          </w:p>
        </w:tc>
        <w:tc>
          <w:tcPr>
            <w:tcW w:type="dxa" w:w="301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是否存在资金和账务风险</w:t>
            </w:r>
          </w:p>
        </w:tc>
      </w:tr>
      <w:tr>
        <w:tc>
          <w:tcPr>
            <w:tcW w:type="dxa" w:w="145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执行与风险</w:t>
            </w:r>
          </w:p>
        </w:tc>
        <w:tc>
          <w:tcPr>
            <w:tcW w:type="dxa" w:w="4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重点事项、风险预警、需协调/批示事项</w:t>
            </w:r>
          </w:p>
        </w:tc>
        <w:tc>
          <w:tcPr>
            <w:tcW w:type="dxa" w:w="30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老板当天需要介入什么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2.2 日报管理内容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50"/>
        <w:gridCol w:w="291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填报项</w:t>
            </w:r>
          </w:p>
        </w:tc>
        <w:tc>
          <w:tcPr>
            <w:tcW w:type="dxa" w:w="4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填报要求</w:t>
            </w:r>
          </w:p>
        </w:tc>
        <w:tc>
          <w:tcPr>
            <w:tcW w:type="dxa" w:w="2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页面呈现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今日完成</w:t>
            </w:r>
          </w:p>
        </w:tc>
        <w:tc>
          <w:tcPr>
            <w:tcW w:type="dxa" w:w="4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3-5条，写清结果及关键数据，避免过程流水账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按部门折叠展示，突出完成结果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存在问题</w:t>
            </w:r>
          </w:p>
        </w:tc>
        <w:tc>
          <w:tcPr>
            <w:tcW w:type="dxa" w:w="485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问题、影响、当前措施；无问题可填“无”</w:t>
            </w:r>
          </w:p>
        </w:tc>
        <w:tc>
          <w:tcPr>
            <w:tcW w:type="dxa" w:w="29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异常标色并关联责任人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明日计划</w:t>
            </w:r>
          </w:p>
        </w:tc>
        <w:tc>
          <w:tcPr>
            <w:tcW w:type="dxa" w:w="4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2-3项，明确动作与完成节点</w:t>
            </w:r>
          </w:p>
        </w:tc>
        <w:tc>
          <w:tcPr>
            <w:tcW w:type="dxa" w:w="291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形成次日待办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需协调事项</w:t>
            </w:r>
          </w:p>
        </w:tc>
        <w:tc>
          <w:tcPr>
            <w:tcW w:type="dxa" w:w="485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明确需要谁支持、解决时限及期望结果</w:t>
            </w:r>
          </w:p>
        </w:tc>
        <w:tc>
          <w:tcPr>
            <w:tcW w:type="dxa" w:w="291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老板端可批复、指派责任人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2.3 日报对比口径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日度：较昨日、较上周同日、较日目标；避免只看昨日环比造成周末与工作日误判。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周度：较上周、较去年同期、较周目标。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月度：较上月、较去年同期、较月目标、年初累计。</w:t>
      </w:r>
    </w:p>
    <w:p>
      <w:pPr>
        <w:pStyle w:val="Heading1"/>
        <w:keepNext/>
        <w:pageBreakBefore w:val="0"/>
      </w:pPr>
      <w:r>
        <w:t>三、各业务板块下钻看板</w:t>
      </w:r>
    </w:p>
    <w:p>
      <w:pPr>
        <w:pStyle w:val="Heading2"/>
        <w:keepNext/>
        <w:pageBreakBefore w:val="0"/>
      </w:pPr>
      <w:r>
        <w:t>3.1 APR门店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销售与利润：销售额、毛利、毛利率、订单数、销量、客单价。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客流与转化：进店客流、成交订单、转化率，并支持门店和时段对比。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产品结构：iPhone、iPad、Mac、Watch及配件的销量、销售额、毛利贡献和占比。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服务项目：ACS链接率、配件连带率、以旧换新占比、分期量、Setup设置率。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门店与人员：门店排名、员工销售、人效、客单价、项目达成。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库存与合规：库存满足率、缺货、滞销、超期库存、激活/扫码/价格等异常。</w:t>
      </w:r>
    </w:p>
    <w:p>
      <w:pPr>
        <w:pStyle w:val="Heading2"/>
        <w:keepNext/>
        <w:pageBreakBefore w:val="0"/>
      </w:pPr>
      <w:r>
        <w:t>3.2 Apple电商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经营结果：平台销售额、订单数、毛利率、退款/退货率、客单价。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流量转化：UV、点击率、加购率、支付转化率，并区分平台和店铺。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费用效率：平台优惠、补贴、佣金、推广费、ROAS及毛利贡献。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结构表现：平台、店铺、产品线、SKU和活动销售结构。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履约售后：取消、退款、售后时效、开票、激活率、超卖和异常低价订单。</w:t>
      </w:r>
    </w:p>
    <w:p>
      <w:pPr>
        <w:pStyle w:val="Heading2"/>
        <w:keepNext/>
        <w:pageBreakBefore w:val="0"/>
      </w:pPr>
      <w:r>
        <w:t>3.3 舒尔电商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销售额、毛利、毛利率、订单量、客单价、退款率。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平台UV、转化率、推广费用、ROAS及活动效果。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核心型号/SKU排名、新品表现、销售占比及毛利贡献。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库存周转、缺货、低动销及滞销产品预警。</w:t>
      </w:r>
    </w:p>
    <w:p>
      <w:pPr>
        <w:pStyle w:val="Heading2"/>
        <w:keepNext/>
        <w:pageBreakBefore w:val="0"/>
      </w:pPr>
      <w:r>
        <w:t>3.4 3PP销售/分销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销售额、毛利、毛利率、订单量及目标达成。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品牌、客户、渠道、产品及区域销售结构。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新客户、新品牌、新产品引进和重点项目进度。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库存周转、缺货、滞销、应收账款和逾期情况。</w:t>
      </w:r>
    </w:p>
    <w:p>
      <w:pPr>
        <w:pStyle w:val="Heading2"/>
        <w:keepNext/>
        <w:pageBreakBefore w:val="0"/>
      </w:pPr>
      <w:r>
        <w:t>3.5 内容营销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小红书、抖音、视频号发布数及门店完成率。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播放/浏览量、点赞、收藏、评论、互动量及互动率。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按平台、门店、项目、产品、内容类型分析结构与趋势。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保留发布链接明细，老板端可点击查看具体内容。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日度看发布完成和异常，周/月度看趋势、结构和重点项目效果。</w:t>
      </w:r>
    </w:p>
    <w:p>
      <w:pPr>
        <w:pStyle w:val="Heading2"/>
        <w:keepNext/>
        <w:pageBreakBefore w:val="0"/>
      </w:pPr>
      <w:r>
        <w:t>3.6 综合办/人事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在岗、缺编、招聘、入职、离职及考勤异常。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培训、考试、新人成长计划及证书完成情况。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制度、合同、行政采购及跨部门事项进度。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早会纪要上传后由AI提取事项，综合办确认责任人和截止时间。</w:t>
      </w:r>
    </w:p>
    <w:p>
      <w:pPr>
        <w:pStyle w:val="Heading2"/>
        <w:keepNext/>
        <w:pageBreakBefore w:val="0"/>
      </w:pPr>
      <w:r>
        <w:t>3.7 财务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资金收入与支出、银行及前台收银对账情况。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应收、应付、逾期款项、退款及发票异常。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毛利复核、负毛利、零价/低价订单、错单漏单及未入账事项。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财务数据按D+1更新，并限制为老板、财务及授权人员查看。</w:t>
      </w:r>
    </w:p>
    <w:p>
      <w:pPr>
        <w:pStyle w:val="Heading1"/>
        <w:keepNext/>
        <w:pageBreakBefore w:val="0"/>
      </w:pPr>
      <w:r>
        <w:t>四、重点事项、协调事项与风控</w:t>
      </w:r>
    </w:p>
    <w:p>
      <w:pPr>
        <w:pStyle w:val="Heading2"/>
        <w:keepNext/>
        <w:pageBreakBefore w:val="0"/>
      </w:pPr>
      <w:r>
        <w:t>4.1 重点事项进度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事项信息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事项名称、来源、业务板块、责任人</w:t>
            </w:r>
          </w:p>
        </w:tc>
      </w:tr>
      <w:tr>
        <w:tc>
          <w:tcPr>
            <w:tcW w:type="dxa" w:w="18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时间节点</w:t>
            </w:r>
          </w:p>
        </w:tc>
        <w:tc>
          <w:tcPr>
            <w:tcW w:type="dxa" w:w="75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开始时间、截止时间、里程碑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执行情况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今日/本周进展、完成比例、下一步动作</w:t>
            </w:r>
          </w:p>
        </w:tc>
      </w:tr>
      <w:tr>
        <w:tc>
          <w:tcPr>
            <w:tcW w:type="dxa" w:w="18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状态判断</w:t>
            </w:r>
          </w:p>
        </w:tc>
        <w:tc>
          <w:tcPr>
            <w:tcW w:type="dxa" w:w="75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正常、关注、预警、逾期、需立即介入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协调需求</w:t>
            </w:r>
          </w:p>
        </w:tc>
        <w:tc>
          <w:tcPr>
            <w:tcW w:type="dxa" w:w="7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需协调人、资源、决策点及完成时限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2937"/>
          <w:sz w:val="21"/>
        </w:rPr>
        <w:t>系统应根据</w:t>
      </w:r>
      <w:r>
        <w:rPr>
          <w:rFonts w:ascii="Calibri" w:hAnsi="Calibri" w:eastAsia="Microsoft YaHei"/>
          <w:b w:val="0"/>
          <w:color w:val="1F2937"/>
          <w:sz w:val="21"/>
        </w:rPr>
        <w:t>截止时间、更新时间和完成比例自动预警，但业务负责人必须每天确认实际进展。</w:t>
      </w:r>
    </w:p>
    <w:p>
      <w:pPr>
        <w:pStyle w:val="Heading2"/>
        <w:keepNext/>
        <w:pageBreakBefore w:val="0"/>
      </w:pPr>
      <w:r>
        <w:t>4.2 风控预警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600"/>
        <w:gridCol w:w="32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4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重点监控内容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建议预警逻辑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销售风险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销售下滑、目标偏差、负毛利、低价/零价订单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低于阈值、连续下降或出现异常价格即预警</w:t>
            </w:r>
          </w:p>
        </w:tc>
      </w:tr>
      <w:tr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数据风险</w:t>
            </w:r>
          </w:p>
        </w:tc>
        <w:tc>
          <w:tcPr>
            <w:tcW w:type="dxa" w:w="46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未及时录单、接口缺失、ERP与平台数据不一致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显示最后更新时间、未过单数量和差异金额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库存风险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缺货、低库存、超期、滞销、残次、样机及盘点差异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按库存天数、库龄和异常金额分级</w:t>
            </w:r>
          </w:p>
        </w:tc>
      </w:tr>
      <w:tr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资金风险</w:t>
            </w:r>
          </w:p>
        </w:tc>
        <w:tc>
          <w:tcPr>
            <w:tcW w:type="dxa" w:w="46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应收应付逾期、退款异常、账实差异、未入账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金额和逾期天数超过阈值即预警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平台风险</w:t>
            </w:r>
          </w:p>
        </w:tc>
        <w:tc>
          <w:tcPr>
            <w:tcW w:type="dxa" w:w="46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激活率、封店、超卖、客诉、评价及合规异常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触及平台规则或持续恶化即升级</w:t>
            </w:r>
          </w:p>
        </w:tc>
      </w:tr>
      <w:tr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管理风险</w:t>
            </w:r>
          </w:p>
        </w:tc>
        <w:tc>
          <w:tcPr>
            <w:tcW w:type="dxa" w:w="46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事项逾期、责任人未更新、人员流失、合同与信息安全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到期未更新或高风险事项自动置顶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4.3 协调与批复闭环</w:t>
      </w:r>
    </w:p>
    <w:p>
      <w:pPr>
        <w:pStyle w:val="ListNumber"/>
        <w:spacing w:before="0" w:after="10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业务端提出协调事项，明确问题、影响、所需支持和解决时限。</w:t>
      </w:r>
    </w:p>
    <w:p>
      <w:pPr>
        <w:pStyle w:val="ListNumber"/>
        <w:spacing w:before="0" w:after="10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老板端查看事项并批复，可指定责任人、处理要求和完成节点。</w:t>
      </w:r>
    </w:p>
    <w:p>
      <w:pPr>
        <w:pStyle w:val="ListNumber"/>
        <w:spacing w:before="0" w:after="10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被指定责任人登录后优先收到提醒，填写处理进展。</w:t>
      </w:r>
    </w:p>
    <w:p>
      <w:pPr>
        <w:pStyle w:val="ListNumber"/>
        <w:spacing w:before="0" w:after="10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提出人确认结果，事项关闭；逾期未关闭则持续预警。</w:t>
      </w:r>
    </w:p>
    <w:p>
      <w:pPr>
        <w:pStyle w:val="Heading1"/>
        <w:keepNext/>
        <w:pageBreakBefore w:val="0"/>
      </w:pPr>
      <w:r>
        <w:t>五、老板看板页面结构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呈现重点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经营总览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公司日报、周报、月报</w:t>
            </w:r>
          </w:p>
        </w:tc>
        <w:tc>
          <w:tcPr>
            <w:tcW w:type="dxa" w:w="4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销售、利润、目标、结构、库存、异常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业务经营</w:t>
            </w:r>
          </w:p>
        </w:tc>
        <w:tc>
          <w:tcPr>
            <w:tcW w:type="dxa" w:w="28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APR、Apple电商、舒尔电商、3PP销售/分销</w:t>
            </w:r>
          </w:p>
        </w:tc>
        <w:tc>
          <w:tcPr>
            <w:tcW w:type="dxa" w:w="49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各板块特色指标及明细下钻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管理数据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部门日报、综合办/人事、财务</w:t>
            </w:r>
          </w:p>
        </w:tc>
        <w:tc>
          <w:tcPr>
            <w:tcW w:type="dxa" w:w="4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工作结果、问题、计划和管理指标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内容传播</w:t>
            </w:r>
          </w:p>
        </w:tc>
        <w:tc>
          <w:tcPr>
            <w:tcW w:type="dxa" w:w="28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传播概况、门店明细、发布链接</w:t>
            </w:r>
          </w:p>
        </w:tc>
        <w:tc>
          <w:tcPr>
            <w:tcW w:type="dxa" w:w="49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平台、门店、项目、内容数据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执行风控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重点事项、风险预警、协调批复</w:t>
            </w:r>
          </w:p>
        </w:tc>
        <w:tc>
          <w:tcPr>
            <w:tcW w:type="dxa" w:w="4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责任人、节点、风险和老板决策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AI分析</w:t>
            </w:r>
          </w:p>
        </w:tc>
        <w:tc>
          <w:tcPr>
            <w:tcW w:type="dxa" w:w="28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经营分析、管理分析、周/月度建议</w:t>
            </w:r>
          </w:p>
        </w:tc>
        <w:tc>
          <w:tcPr>
            <w:tcW w:type="dxa" w:w="49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异常原因、趋势判断、行动建议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原始资料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上传报表、会议纪要、监控入口</w:t>
            </w:r>
          </w:p>
        </w:tc>
        <w:tc>
          <w:tcPr>
            <w:tcW w:type="dxa" w:w="49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作为辅助查询，不占用老板首页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页面原则  </w:t>
      </w:r>
      <w:r>
        <w:rPr>
          <w:rFonts w:ascii="Calibri" w:hAnsi="Calibri" w:eastAsia="Microsoft YaHei"/>
          <w:b w:val="0"/>
          <w:color w:val="1F2937"/>
          <w:sz w:val="21"/>
        </w:rPr>
        <w:t>首页展示结论，点击指标进入业务板块，再下钻至门店、渠道、产品线、SKU或员工；监控、原始表格和会议原文独立放在辅助入口。</w:t>
      </w:r>
    </w:p>
    <w:p>
      <w:pPr>
        <w:pStyle w:val="Heading1"/>
        <w:keepNext/>
        <w:pageBreakBefore w:val="0"/>
      </w:pPr>
      <w:r>
        <w:t>六、数据来源、频率与质量控制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1500"/>
        <w:gridCol w:w="32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数据内容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更新频率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控制要求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销售、订单、毛利、库存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吉客云ERP/API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实时或定时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校验录单及时性，显示刷新时间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电商流量、推广、售后</w:t>
            </w:r>
          </w:p>
        </w:tc>
        <w:tc>
          <w:tcPr>
            <w:tcW w:type="dxa" w:w="27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平台API/后台导出</w:t>
            </w:r>
          </w:p>
        </w:tc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实时或日更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统一平台费用和退款口径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APR客流及Apple项目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客流系统、Apple后台、门店报表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日更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门店、日期、产品口径一致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内容传播</w:t>
            </w:r>
          </w:p>
        </w:tc>
        <w:tc>
          <w:tcPr>
            <w:tcW w:type="dxa" w:w="27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平台导出报表/门店模板</w:t>
            </w:r>
          </w:p>
        </w:tc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日/周更新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保留链接和门店归属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财务资金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财务系统及对账表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D+1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以财务确认口径为准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管理、重点事项、风险</w:t>
            </w:r>
          </w:p>
        </w:tc>
        <w:tc>
          <w:tcPr>
            <w:tcW w:type="dxa" w:w="27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业务负责人填报</w:t>
            </w:r>
          </w:p>
        </w:tc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下班前更新</w:t>
            </w:r>
          </w:p>
        </w:tc>
        <w:tc>
          <w:tcPr>
            <w:tcW w:type="dxa" w:w="32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责任人和截止时间必填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会议任务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早会/周会录音或纪要</w:t>
            </w:r>
          </w:p>
        </w:tc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会议后生成</w:t>
            </w:r>
          </w:p>
        </w:tc>
        <w:tc>
          <w:tcPr>
            <w:tcW w:type="dxa" w:w="3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AI提取后由综合办人工确认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6.1 数据质量卡（必须增加）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显示ERP、平台和各端口最后更新时间。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显示未过单、未上传、接口失败及数据缺失数量。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显示ERP与平台、ERP与财务之间的差异金额。</w:t>
      </w:r>
    </w:p>
    <w:p>
      <w:pPr>
        <w:pStyle w:val="ListBullet"/>
        <w:spacing w:before="0" w:after="8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1"/>
        </w:rPr>
        <w:t>数据不完整时，首页明确标注“暂估/待确认”，避免形成错误判断。</w:t>
      </w:r>
    </w:p>
    <w:p>
      <w:pPr>
        <w:pStyle w:val="Heading1"/>
        <w:keepNext/>
        <w:pageBreakBefore w:val="0"/>
      </w:pPr>
      <w:r>
        <w:t>七、周报呈现框架</w:t>
      </w: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周报原则  </w:t>
      </w:r>
      <w:r>
        <w:rPr>
          <w:rFonts w:ascii="Calibri" w:hAnsi="Calibri" w:eastAsia="Microsoft YaHei"/>
          <w:b w:val="0"/>
          <w:color w:val="1F2937"/>
          <w:sz w:val="21"/>
        </w:rPr>
        <w:t>有数据、有分析、有结论，重点看趋势、差距、原因和下周动作。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周度经营总览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销售、毛利、目标达成、环比/同比、线上线下及业务板块结构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门店/渠道排名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销售额、达成率、毛利率、客流转化、坪效、人效、TOP/BOTTOM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品类与产品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iPhone/iPad/Mac/Watch/配件及舒尔核心型号表现，爆款与滞销分析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电商专项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平台销售、UV、转化率、客单价、退款率、推广费和ROAS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库存供应链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库存周转、缺货、补货、库龄、滞销金额及处理计划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管理复盘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各部门完成、未完成/延期、问题原因及下周计划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项目与风险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里程碑、偏差、风险等级、需协调资源和需老板决策事项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八、月报呈现框架</w:t>
      </w: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月报原则  </w:t>
      </w:r>
      <w:r>
        <w:rPr>
          <w:rFonts w:ascii="Calibri" w:hAnsi="Calibri" w:eastAsia="Microsoft YaHei"/>
          <w:b w:val="0"/>
          <w:color w:val="1F2937"/>
          <w:sz w:val="21"/>
        </w:rPr>
        <w:t>以财务确认口径进行经营体检，重点看经营质量、效率、根因和下月策略。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经营总览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营业收入、毛利额/率、净利润/率、费用率、目标达成、环比、同比、年初累计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业务结构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线上/线下、苹果/舒尔/3PP、门店/渠道收入及利润贡献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经营效率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坪效、人效、转化率、客单价、库存周转天数、售罄率、GMROI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客户与内容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会员新增、活跃、复购、客单价趋势；粉丝增长和传播表现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库存健康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库存金额、库龄结构、缺货、滞销、残次、样机及盘点差异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部门管理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各部门3-5项成果、1-2项问题、根因及改进措施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战略项目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月度目标、实际完成、偏差原因、下月计划、资源及老板决策</w:t>
            </w:r>
          </w:p>
        </w:tc>
      </w:tr>
      <w:tr>
        <w:tc>
          <w:tcPr>
            <w:tcW w:type="dxa" w:w="19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市场变化</w:t>
            </w:r>
          </w:p>
        </w:tc>
        <w:tc>
          <w:tcPr>
            <w:tcW w:type="dxa" w:w="746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竞品价格/活动、新店、品牌政策及行业趋势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九、行业通用指标及口径建议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建议口径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管理用途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客单价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销售额 ÷ 订单数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判断销售质量与套餐连带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转化率</w:t>
            </w:r>
          </w:p>
        </w:tc>
        <w:tc>
          <w:tcPr>
            <w:tcW w:type="dxa" w:w="3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线下成交订单 ÷ 进店客流；线上支付订单 ÷ UV</w:t>
            </w:r>
          </w:p>
        </w:tc>
        <w:tc>
          <w:tcPr>
            <w:tcW w:type="dxa" w:w="38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判断问题在流量还是成交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毛利率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毛利额 ÷ 销售额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衡量收入质量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库存周转率</w:t>
            </w:r>
          </w:p>
        </w:tc>
        <w:tc>
          <w:tcPr>
            <w:tcW w:type="dxa" w:w="3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销售成本 ÷ 平均库存成本</w:t>
            </w:r>
          </w:p>
        </w:tc>
        <w:tc>
          <w:tcPr>
            <w:tcW w:type="dxa" w:w="38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衡量资金周转效率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库存可售天数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期末库存 ÷ 日均销量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判断缺货和积压风险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售罄率</w:t>
            </w:r>
          </w:p>
        </w:tc>
        <w:tc>
          <w:tcPr>
            <w:tcW w:type="dxa" w:w="3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期间销量 ÷ 期间可售数量</w:t>
            </w:r>
          </w:p>
        </w:tc>
        <w:tc>
          <w:tcPr>
            <w:tcW w:type="dxa" w:w="38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判断新品和季节产品动销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GMROI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毛利额 ÷ 平均库存成本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判断库存投入带来的毛利回报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人效</w:t>
            </w:r>
          </w:p>
        </w:tc>
        <w:tc>
          <w:tcPr>
            <w:tcW w:type="dxa" w:w="3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销售额或毛利额 ÷ 在岗人数</w:t>
            </w:r>
          </w:p>
        </w:tc>
        <w:tc>
          <w:tcPr>
            <w:tcW w:type="dxa" w:w="38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比较门店与员工效率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坪效</w:t>
            </w:r>
          </w:p>
        </w:tc>
        <w:tc>
          <w:tcPr>
            <w:tcW w:type="dxa" w:w="39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销售额 ÷ 营业面积</w:t>
            </w:r>
          </w:p>
        </w:tc>
        <w:tc>
          <w:tcPr>
            <w:tcW w:type="dxa" w:w="386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比较门店空间产出</w:t>
            </w:r>
          </w:p>
        </w:tc>
      </w:tr>
      <w:tr>
        <w:tc>
          <w:tcPr>
            <w:tcW w:type="dxa" w:w="16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ROAS</w:t>
            </w:r>
          </w:p>
        </w:tc>
        <w:tc>
          <w:tcPr>
            <w:tcW w:type="dxa" w:w="390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推广产生销售额 ÷ 推广费用</w:t>
            </w:r>
          </w:p>
        </w:tc>
        <w:tc>
          <w:tcPr>
            <w:tcW w:type="dxa" w:w="386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衡量线上推广产出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667085"/>
          <w:sz w:val="21"/>
        </w:rPr>
        <w:t>零售行业看板通常同时关注销售与利润、库存效率、人员效率和转化结果，并通过门店、渠道、品类和时间维度进行对比下钻。</w:t>
      </w:r>
    </w:p>
    <w:p>
      <w:pPr>
        <w:pStyle w:val="Heading1"/>
        <w:keepNext/>
        <w:pageBreakBefore w:val="0"/>
      </w:pPr>
      <w:r>
        <w:t>十、实施优先级建议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50"/>
        <w:gridCol w:w="33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优先完成内容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第一阶段</w:t>
            </w:r>
          </w:p>
        </w:tc>
        <w:tc>
          <w:tcPr>
            <w:tcW w:type="dxa" w:w="4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统一指标口径、公司日报首页、ERP/API数据质量卡</w:t>
            </w:r>
          </w:p>
        </w:tc>
        <w:tc>
          <w:tcPr>
            <w:tcW w:type="dxa" w:w="3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老板可在一屏看清经营结果和异常</w:t>
            </w:r>
          </w:p>
        </w:tc>
      </w:tr>
      <w:tr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第二阶段</w:t>
            </w:r>
          </w:p>
        </w:tc>
        <w:tc>
          <w:tcPr>
            <w:tcW w:type="dxa" w:w="455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APR、Apple电商、舒尔电商、3PP板块下钻</w:t>
            </w:r>
          </w:p>
        </w:tc>
        <w:tc>
          <w:tcPr>
            <w:tcW w:type="dxa" w:w="331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可从公司下钻至门店/渠道/产品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第三阶段</w:t>
            </w:r>
          </w:p>
        </w:tc>
        <w:tc>
          <w:tcPr>
            <w:tcW w:type="dxa" w:w="45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管理日报、重点事项、风控、协调批复</w:t>
            </w:r>
          </w:p>
        </w:tc>
        <w:tc>
          <w:tcPr>
            <w:tcW w:type="dxa" w:w="33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事项有责任人、节点、预警和闭环</w:t>
            </w:r>
          </w:p>
        </w:tc>
      </w:tr>
      <w:tr>
        <w:tc>
          <w:tcPr>
            <w:tcW w:type="dxa" w:w="1500"/>
            <w:shd w:fill="F5F8FC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第四阶段</w:t>
            </w:r>
          </w:p>
        </w:tc>
        <w:tc>
          <w:tcPr>
            <w:tcW w:type="dxa" w:w="455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内容传播、人事、财务及AI分析</w:t>
            </w:r>
          </w:p>
        </w:tc>
        <w:tc>
          <w:tcPr>
            <w:tcW w:type="dxa" w:w="3310"/>
            <w:shd w:fill="F5F8FC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周/月度能够自动汇总并形成建议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FFF7E6"/>
        <w:pBdr>
          <w:left w:val="single" w:sz="18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最终建议  </w:t>
      </w:r>
      <w:r>
        <w:rPr>
          <w:rFonts w:ascii="Calibri" w:hAnsi="Calibri" w:eastAsia="Microsoft YaHei"/>
          <w:b w:val="0"/>
          <w:color w:val="1F2937"/>
          <w:sz w:val="21"/>
        </w:rPr>
        <w:t>先确定“看什么”和“怎么算”，再开发页面。系统呈现形式可以调整，但指标口径、数据来源、更新时间和责任人必须先固定，否则看板越复杂，误判风险越高。</w:t>
      </w:r>
    </w:p>
    <w:p>
      <w:pPr>
        <w:pStyle w:val="Heading1"/>
        <w:keepNext/>
        <w:pageBreakBefore w:val="0"/>
      </w:pPr>
      <w:r>
        <w:t>参考资料</w:t>
      </w:r>
    </w:p>
    <w:p>
      <w:pPr>
        <w:pStyle w:val="ListBullet"/>
        <w:spacing w:before="0" w:after="80" w:line="264" w:lineRule="auto"/>
        <w:ind w:left="720" w:hanging="360"/>
      </w:pPr>
      <w:hyperlink r:id="rId11">
        <w:r>
          <w:rPr>
            <w:color w:val="2E74B5"/>
            <w:u w:val="single"/>
          </w:rPr>
          <w:t>老板豆包对话：零售公司日/周/月三级经营简报模板设计</w:t>
        </w:r>
      </w:hyperlink>
    </w:p>
    <w:p>
      <w:pPr>
        <w:pStyle w:val="ListBullet"/>
        <w:spacing w:before="0" w:after="80" w:line="264" w:lineRule="auto"/>
        <w:ind w:left="720" w:hanging="360"/>
      </w:pPr>
      <w:hyperlink r:id="rId12">
        <w:r>
          <w:rPr>
            <w:color w:val="2E74B5"/>
            <w:u w:val="single"/>
          </w:rPr>
          <w:t>Microsoft Power BI：零售分析示例</w:t>
        </w:r>
      </w:hyperlink>
    </w:p>
    <w:p>
      <w:pPr>
        <w:pStyle w:val="ListBullet"/>
        <w:spacing w:before="0" w:after="80" w:line="264" w:lineRule="auto"/>
        <w:ind w:left="720" w:hanging="360"/>
      </w:pPr>
      <w:hyperlink r:id="rId13">
        <w:r>
          <w:rPr>
            <w:color w:val="2E74B5"/>
            <w:u w:val="single"/>
          </w:rPr>
          <w:t>Shopify：Retail Metrics（零售核心指标）</w:t>
        </w:r>
      </w:hyperlink>
    </w:p>
    <w:p>
      <w:pPr>
        <w:pStyle w:val="ListBullet"/>
        <w:spacing w:before="0" w:after="80" w:line="264" w:lineRule="auto"/>
        <w:ind w:left="720" w:hanging="360"/>
      </w:pPr>
      <w:hyperlink r:id="rId14">
        <w:r>
          <w:rPr>
            <w:color w:val="2E74B5"/>
            <w:u w:val="single"/>
          </w:rPr>
          <w:t>Shopify：Retail Reports（库存与经营报表）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Microsoft YaHei"/>
        <w:b w:val="0"/>
        <w:color w:val="667085"/>
        <w:sz w:val="16"/>
      </w:rPr>
      <w:t>经营日报及数据看板呈现内容规划方案  ·  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b/>
        <w:color w:val="667085"/>
        <w:sz w:val="17"/>
      </w:rPr>
      <w:t>传天羽｜经营管理简报体系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oubao.com/thread/xtii7f8DsQys2ji1p?share_token=045199ED-AF4C-4343-9A6B-F3D3DFB8740C" TargetMode="External"/><Relationship Id="rId12" Type="http://schemas.openxmlformats.org/officeDocument/2006/relationships/hyperlink" Target="https://learn.microsoft.com/zh-cn/power-bi/create-reports/sample-retail-analysis" TargetMode="External"/><Relationship Id="rId13" Type="http://schemas.openxmlformats.org/officeDocument/2006/relationships/hyperlink" Target="https://www.shopify.com/blog/retail-metrics" TargetMode="External"/><Relationship Id="rId14" Type="http://schemas.openxmlformats.org/officeDocument/2006/relationships/hyperlink" Target="https://www.shopify.com/enterprise/blog/retail-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经营日报及数据看板呈现内容规划方案（整合版）</dc:title>
  <dc:subject>经营管理简报与老板数据看板规划</dc:subject>
  <dc:creator>传天羽</dc:creator>
  <cp:keywords>经营日报, 数据看板, APR, 电商, 库存, 风控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