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מטלה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מחסני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המשקיעים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ומטבע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הקידומת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המשקיע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INVESTORS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שמנרמלת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שבנינו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פונקצייה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פרוצדורה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המנורמל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הפונקצייה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ומסירה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סטנדרטיזציה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סטנדרטיזציה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תיכשל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טמפורליות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