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Hiragino Sans GB" w:hAnsi="Hiragino Sans GB" w:eastAsia="Hiragino Sans GB"/>
          <w:b/>
          <w:color w:val="245B78"/>
          <w:sz w:val="48"/>
        </w:rPr>
        <w:t>非手写材料逐项补充指南</w:t>
      </w:r>
    </w:p>
    <w:p>
      <w:pPr>
        <w:spacing w:after="240"/>
      </w:pPr>
      <w:r>
        <w:rPr>
          <w:color w:val="66737D"/>
          <w:sz w:val="22"/>
        </w:rPr>
        <w:t>可直接打印、导出或收集的电子材料，以及每项材料的完成标准。</w:t>
      </w:r>
    </w:p>
    <w:p>
      <w:pPr>
        <w:spacing w:after="280"/>
      </w:pPr>
      <w:r>
        <w:rPr>
          <w:b/>
        </w:rPr>
        <w:t>课题编号：2024B-178　用途：中期检查材料补充与任务分配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7F83"/>
                <w:sz w:val="20"/>
              </w:rPr>
              <w:t>执行原则：不追求材料数量堆积。每项证据应能回答“何时、由谁、做了什么、形成什么结果、文件在哪里”。</w:t>
            </w:r>
          </w:p>
        </w:tc>
      </w:tr>
    </w:tbl>
    <w:p>
      <w:pPr>
        <w:spacing w:after="0"/>
      </w:pPr>
    </w:p>
    <w:p>
      <w:pPr>
        <w:pStyle w:val="Heading1"/>
      </w:pPr>
      <w:r>
        <w:t>一、直接从现有文件整理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材料类别</w:t>
            </w:r>
          </w:p>
        </w:tc>
        <w:tc>
          <w:tcPr>
            <w:tcW w:type="dxa" w:w="360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具体文件</w:t>
            </w:r>
          </w:p>
        </w:tc>
        <w:tc>
          <w:tcPr>
            <w:tcW w:type="dxa" w:w="38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立项与开题依据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通知、立项名单、开题论证书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核对课题编号、负责人、成员和研究周期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课程顶层设计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课程方案、大纲、框架、评估方案、七个模块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统一课程名称、课时数和模块名称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中期主体材料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正式装订稿、中期汇报PPT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补齐签名、日期、页码和目录对应关系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课堂教学资源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20课精讲PPT、简化代码、课程网站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随机抽查每课代码与PPT是否一致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技术平台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数据平台、导入示例、平台截图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记录版本日期和测试结果</w:t>
            </w:r>
          </w:p>
        </w:tc>
      </w:tr>
    </w:tbl>
    <w:p>
      <w:pPr>
        <w:spacing w:after="0"/>
      </w:pPr>
    </w:p>
    <w:p>
      <w:pPr>
        <w:pStyle w:val="Heading1"/>
      </w:pPr>
      <w:r>
        <w:t>二、需要从教学现场收集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材料类别</w:t>
            </w:r>
          </w:p>
        </w:tc>
        <w:tc>
          <w:tcPr>
            <w:tcW w:type="dxa" w:w="360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具体文件</w:t>
            </w:r>
          </w:p>
        </w:tc>
        <w:tc>
          <w:tcPr>
            <w:tcW w:type="dxa" w:w="38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学生作品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FCStd、STL、截图、打印实物照片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前期与中期各选代表性作品并附说明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课堂证据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课堂照片、操作截图、作业提交记录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每张图写明日期、课时、活动和人物身份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学习反馈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访谈、问卷开放题、学生反思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保留原始记录与整理稿，不只保留结论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教师证据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教案、课后反思、听评课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选择能体现改进过程的材料</w:t>
            </w:r>
          </w:p>
        </w:tc>
      </w:tr>
    </w:tbl>
    <w:p>
      <w:pPr>
        <w:spacing w:after="0"/>
      </w:pPr>
    </w:p>
    <w:p>
      <w:pPr>
        <w:pStyle w:val="Heading1"/>
      </w:pPr>
      <w:r>
        <w:t>三、需要从数据工作补充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材料类别</w:t>
            </w:r>
          </w:p>
        </w:tc>
        <w:tc>
          <w:tcPr>
            <w:tcW w:type="dxa" w:w="360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具体文件</w:t>
            </w:r>
          </w:p>
        </w:tc>
        <w:tc>
          <w:tcPr>
            <w:tcW w:type="dxa" w:w="38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测评工具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前测、后测、作品评分量规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说明维度、题目来源、计分方式和实施时间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原始数据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匿名编号数据表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保留未修改原表；身份对应表单独保管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数据清理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缺失值、异常值、排除规则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形成一页处理说明并由负责人签字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统计结果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均值、提升值、维度比较和图表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由原始数据可重复计算，不手工改图表数字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研究限制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样本、工具、实施和解释限制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避免把相关变化直接写成因果结论</w:t>
            </w:r>
          </w:p>
        </w:tc>
      </w:tr>
    </w:tbl>
    <w:p>
      <w:pPr>
        <w:spacing w:after="0"/>
      </w:pPr>
    </w:p>
    <w:p>
      <w:pPr>
        <w:pStyle w:val="Heading1"/>
      </w:pPr>
      <w:r>
        <w:t>四、需要单列的成果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材料类别</w:t>
            </w:r>
          </w:p>
        </w:tc>
        <w:tc>
          <w:tcPr>
            <w:tcW w:type="dxa" w:w="360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具体文件</w:t>
            </w:r>
          </w:p>
        </w:tc>
        <w:tc>
          <w:tcPr>
            <w:tcW w:type="dxa" w:w="38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发表文章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全文、封面、目录、证明、关联说明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按已发表/已录用/投稿中准确标注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校本课程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课程方案、20课PPT、网站、代码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注明适用年级、课时和实施情况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学生成果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模型、打印作品、展示或获奖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只列有文件或证书支持的成果</w:t>
            </w:r>
          </w:p>
        </w:tc>
      </w:tr>
      <w:tr>
        <w:tc>
          <w:tcPr>
            <w:tcW w:type="dxa" w:w="201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教师成果</w:t>
            </w:r>
          </w:p>
        </w:tc>
        <w:tc>
          <w:tcPr>
            <w:tcW w:type="dxa" w:w="360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公开课、讲座、论文、案例</w:t>
            </w:r>
          </w:p>
        </w:tc>
        <w:tc>
          <w:tcPr>
            <w:tcW w:type="dxa" w:w="388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提供通知、照片、证书或发表证明</w:t>
            </w:r>
          </w:p>
        </w:tc>
      </w:tr>
    </w:tbl>
    <w:p>
      <w:pPr>
        <w:spacing w:after="0"/>
      </w:pPr>
    </w:p>
    <w:p>
      <w:pPr>
        <w:pStyle w:val="Heading1"/>
      </w:pPr>
      <w:r>
        <w:t>五、下一阶段行动清单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77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1周内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完成材料盘点、责任分工、缺件清单和签字页</w:t>
            </w:r>
          </w:p>
        </w:tc>
      </w:tr>
      <w:tr>
        <w:tc>
          <w:tcPr>
            <w:tcW w:type="dxa" w:w="17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2周内</w:t>
            </w:r>
          </w:p>
        </w:tc>
        <w:tc>
          <w:tcPr>
            <w:tcW w:type="dxa" w:w="77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补齐4-6节课堂记录、2-4份听评课、6-10份学生访谈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3周内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收集前中期作品样例，完成真实数据导入与统计复核</w:t>
            </w:r>
          </w:p>
        </w:tc>
      </w:tr>
      <w:tr>
        <w:tc>
          <w:tcPr>
            <w:tcW w:type="dxa" w:w="17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1个月内</w:t>
            </w:r>
          </w:p>
        </w:tc>
        <w:tc>
          <w:tcPr>
            <w:tcW w:type="dxa" w:w="77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形成课程实施改进说明，完成一篇阶段论文或案例初稿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持续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每课归档PPT版本、代码、学生文件、照片、反思和评价记录</w:t>
            </w:r>
          </w:p>
        </w:tc>
      </w:tr>
      <w:tr>
        <w:tc>
          <w:tcPr>
            <w:tcW w:type="dxa" w:w="17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结题前</w:t>
            </w:r>
          </w:p>
        </w:tc>
        <w:tc>
          <w:tcPr>
            <w:tcW w:type="dxa" w:w="77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补做后测、完善成果验证、形成研究报告和成果推广材料</w:t>
            </w:r>
          </w:p>
        </w:tc>
      </w:tr>
    </w:tbl>
    <w:p>
      <w:pPr>
        <w:spacing w:after="0"/>
      </w:pPr>
    </w:p>
    <w:p>
      <w:pPr>
        <w:pStyle w:val="Heading1"/>
      </w:pPr>
      <w:r>
        <w:t>六、最终核对标准</w:t>
      </w:r>
    </w:p>
    <w:p>
      <w:pPr>
        <w:pStyle w:val="ListBullet"/>
      </w:pPr>
      <w:r>
        <w:t>目录编号与文件夹编号一致，纸质册页码与目录一致。</w:t>
      </w:r>
    </w:p>
    <w:p>
      <w:pPr>
        <w:pStyle w:val="ListBullet"/>
      </w:pPr>
      <w:r>
        <w:t>涉及人员、日期、数量、得分的材料都有原始依据。</w:t>
      </w:r>
    </w:p>
    <w:p>
      <w:pPr>
        <w:pStyle w:val="ListBullet"/>
      </w:pPr>
      <w:r>
        <w:t>发表文章单列，不与一般过程材料混放。</w:t>
      </w:r>
    </w:p>
    <w:p>
      <w:pPr>
        <w:pStyle w:val="ListBullet"/>
      </w:pPr>
      <w:r>
        <w:t>PPT、网站和代码使用同一版本；20段课堂代码均有验证记录。</w:t>
      </w:r>
    </w:p>
    <w:p>
      <w:pPr>
        <w:pStyle w:val="ListBullet"/>
      </w:pPr>
      <w:r>
        <w:t>演示数据与真实数据分开保存，正式结论只引用真实采集数据。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FreeCAD课题中期汇报｜非手写材料逐项补充指南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6673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5B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