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统一数据底座虚拟接入需求说明书</w:t>
      </w:r>
    </w:p>
    <w:p>
      <w:pPr>
        <w:pStyle w:val="Subtitle"/>
      </w:pPr>
      <w:r>
        <w:t>需求版本 1.0    编制日期 2026年10月2日    用于开发拆解与阶段验收</w:t>
      </w:r>
    </w:p>
    <w:p>
      <w:pPr>
        <w:pStyle w:val="Heading1"/>
      </w:pPr>
      <w:r>
        <w:t>1  系统目标与开发范围</w:t>
      </w:r>
    </w:p>
    <w:p>
      <w:r>
        <w:rPr>
          <w:b w:val="0"/>
        </w:rPr>
        <w:t>本系统承担研究内容一中的统一数据底座管理工作。在业务数据保留于原系统的前提下，对拟共享资源建立统一标识，管理其访问能力、共享对象和使用条件，并持续记录实际共享量、频度、状态及审计信息。开发应形成可以复现和验收的完整管理流程。</w:t>
      </w:r>
    </w:p>
    <w:p>
      <w:pPr>
        <w:pStyle w:val="Heading2"/>
      </w:pPr>
      <w:r>
        <w:t>1.1 需要解决的问题</w:t>
      </w:r>
    </w:p>
    <w:p>
      <w:r>
        <w:rPr>
          <w:b w:val="0"/>
        </w:rPr>
        <w:t>外部系统通过接口和消息共享数据时，容易出现资源含义不清、访问方式分散、共享对象和条件难以核对、实际使用情况不可见的问题。底座应让管理员能够回答：有什么数据、由谁提供、怎样访问、允许谁使用、实际共享多少，以及异常能否追溯。</w:t>
      </w:r>
    </w:p>
    <w:p>
      <w:pPr>
        <w:pStyle w:val="Heading2"/>
      </w:pPr>
      <w:r>
        <w:t>1.2 最终功能范围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16"/>
        <w:gridCol w:w="8150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功能模块</w:t>
            </w:r>
          </w:p>
        </w:tc>
        <w:tc>
          <w:tcPr>
            <w:tcW w:type="dxa" w:w="815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应形成的结果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接入管理</w:t>
            </w:r>
          </w:p>
        </w:tc>
        <w:tc>
          <w:tcPr>
            <w:tcW w:type="dxa" w:w="815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可登记和测试的数据源，以及可追溯的表和字段扫描结果。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资源管理</w:t>
            </w:r>
          </w:p>
        </w:tc>
        <w:tc>
          <w:tcPr>
            <w:tcW w:type="dxa" w:w="815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具有统一编号、业务说明、责任单位和字段信息的资源目录。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接口能力管理</w:t>
            </w:r>
          </w:p>
        </w:tc>
        <w:tc>
          <w:tcPr>
            <w:tcW w:type="dxa" w:w="815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同一资源下的接口、消息主题、变更流和只读查询能力及其验证结果。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共享治理</w:t>
            </w:r>
          </w:p>
        </w:tc>
        <w:tc>
          <w:tcPr>
            <w:tcW w:type="dxa" w:w="815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提供方、需求方、资源、能力和使用条件组成的有效共享关系。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运行监管与维护</w:t>
            </w:r>
          </w:p>
        </w:tc>
        <w:tc>
          <w:tcPr>
            <w:tcW w:type="dxa" w:w="815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来自实际共享过程的计量、审计、追踪和版本变更记录。</w:t>
            </w:r>
          </w:p>
        </w:tc>
      </w:tr>
    </w:tbl>
    <w:p>
      <w:pPr>
        <w:spacing w:after="0"/>
      </w:pPr>
    </w:p>
    <w:p>
      <w:pPr>
        <w:pStyle w:val="Heading2"/>
      </w:pPr>
      <w:r>
        <w:t>1.3 责任范围与阶段约束</w:t>
      </w:r>
    </w:p>
    <w:p>
      <w:r>
        <w:rPr>
          <w:b w:val="0"/>
        </w:rPr>
        <w:t>本项目负责底座管理服务、中文管理前端和必要适配接口。提供方服务、需求方客户端、消息中间件和变更采集组件作为实验协作节点，仅实现验证底座所需的最小功能。铁路业务系统建设、自然语言问数找数和全时空索引分别属于外部系统或其他研究内容。</w:t>
      </w:r>
    </w:p>
    <w:p>
      <w:r>
        <w:rPr>
          <w:b w:val="0"/>
        </w:rPr>
        <w:t>最终需求覆盖共享治理和运行监管，但当前开发约束仍为完成并巩固 V0.1/V0.2，V0.3 保持暂停。本文的后续任务安排不代表立即恢复后续版本开发。</w:t>
      </w:r>
    </w:p>
    <w:p>
      <w:r>
        <w:rPr>
          <w:b w:val="0"/>
        </w:rPr>
        <w:t>需求依据：研究实施方案第 3 章、第 10 至 12 章；研究内容三仅作为外部接口协作对象。</w:t>
      </w:r>
    </w:p>
    <w:p>
      <w:r>
        <w:br w:type="page"/>
      </w:r>
    </w:p>
    <w:p>
      <w:pPr>
        <w:pStyle w:val="Heading1"/>
      </w:pPr>
      <w:r>
        <w:t>2  用户角色与业务对象</w:t>
      </w:r>
    </w:p>
    <w:p>
      <w:pPr>
        <w:pStyle w:val="Heading2"/>
      </w:pPr>
      <w:r>
        <w:t>2.1 原型角色分配</w:t>
      </w:r>
    </w:p>
    <w:p>
      <w:r>
        <w:rPr>
          <w:b w:val="0"/>
        </w:rPr>
        <w:t>原型采用一个管理员完成管理和审核。提供方与需求方用示例系统模拟，作为共享关系中的业务主体，不要求现阶段建设三套独立用户门户。管理员身份不能代替运行时对需求系统身份的验证。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4392"/>
        <w:gridCol w:w="4118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角色或节点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主要职责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需要提供的输入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管理员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登记、扫描、维护、发布、验证；审核共享条件；查看运行与异常。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业务说明、责任单位、安全级别、允许字段和有效期。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模拟提供方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保存源业务数据；提供查询或消息输出；执行授权并上报运行摘要。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资源来源、可用能力、运行结果及计量信息。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模拟需求方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发现已授权能力；查询或订阅；处理数据并上报消费结果。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需求主体标识、使用条件、消费量和处理状态。</w:t>
            </w:r>
          </w:p>
        </w:tc>
      </w:tr>
    </w:tbl>
    <w:p>
      <w:pPr>
        <w:spacing w:after="0"/>
      </w:pPr>
    </w:p>
    <w:p>
      <w:pPr>
        <w:pStyle w:val="Heading2"/>
      </w:pPr>
      <w:r>
        <w:t>2.2 管理对象及关联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222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管理对象</w:t>
            </w:r>
          </w:p>
        </w:tc>
        <w:tc>
          <w:tcPr>
            <w:tcW w:type="dxa" w:w="822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含义与关联规则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数据源</w:t>
            </w:r>
          </w:p>
        </w:tc>
        <w:tc>
          <w:tcPr>
            <w:tcW w:type="dxa" w:w="822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记录来源系统和连接配置引用；连接凭据由服务端环境配置管理。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数据资源</w:t>
            </w:r>
          </w:p>
        </w:tc>
        <w:tc>
          <w:tcPr>
            <w:tcW w:type="dxa" w:w="822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描述一份业务数据；关联来源和物理位置，具有稳定的资源编号。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字段元数据</w:t>
            </w:r>
          </w:p>
        </w:tc>
        <w:tc>
          <w:tcPr>
            <w:tcW w:type="dxa" w:w="822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记录技术结构和人工确认的业务含义，归属于资源。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接口能力</w:t>
            </w:r>
          </w:p>
        </w:tc>
        <w:tc>
          <w:tcPr>
            <w:tcW w:type="dxa" w:w="822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描述资源的访问方式；一项资源可关联多项能力，能力有独立编号。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共享关系</w:t>
            </w:r>
          </w:p>
        </w:tc>
        <w:tc>
          <w:tcPr>
            <w:tcW w:type="dxa" w:w="822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关联提供方、需求方、资源、能力及权限条件，并管理有效状态。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运行记录</w:t>
            </w:r>
          </w:p>
        </w:tc>
        <w:tc>
          <w:tcPr>
            <w:tcW w:type="dxa" w:w="822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计量、审计与追踪记录关联资源、能力和共享关系，保留历史。</w:t>
            </w:r>
          </w:p>
        </w:tc>
      </w:tr>
    </w:tbl>
    <w:p>
      <w:pPr>
        <w:spacing w:after="0"/>
      </w:pPr>
    </w:p>
    <w:p>
      <w:pPr>
        <w:pStyle w:val="Heading2"/>
      </w:pPr>
      <w:r>
        <w:t>2.3 信息采集原则</w:t>
      </w:r>
    </w:p>
    <w:p>
      <w:r>
        <w:rPr>
          <w:b w:val="0"/>
        </w:rPr>
        <w:t>表名、字段、类型、主键和技术注释由扫描器读取；业务含义、责任单位、安全级别和共享权限由管理员确认。运行期的实际共享量和频度由提供方或需求方自动上报，不由管理员填写。</w:t>
      </w:r>
    </w:p>
    <w:p>
      <w:r>
        <w:rPr>
          <w:b w:val="0"/>
        </w:rPr>
        <w:t>资源编号回答“是哪份数据”，能力编号回答“通过什么方式访问”。消息主题和变更流归属于接口能力，不重复登记成另一份业务资源。</w:t>
      </w:r>
    </w:p>
    <w:p>
      <w:r>
        <w:br w:type="page"/>
      </w:r>
    </w:p>
    <w:p>
      <w:pPr>
        <w:pStyle w:val="Heading1"/>
      </w:pPr>
      <w:r>
        <w:t>3  业务流程与典型用例</w:t>
      </w:r>
    </w:p>
    <w:p>
      <w:r>
        <w:rPr>
          <w:b w:val="0"/>
        </w:rPr>
        <w:t>首次虚拟接入应在正式共享前完成。共享运行后，底座持续接收摘要并维护账本；接口调用和消息传输由底座外的执行节点完成。</w:t>
      </w:r>
    </w:p>
    <w:p>
      <w:pPr>
        <w:spacing w:line="240" w:lineRule="auto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1769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69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用例一  接入并发布集装箱事件资源</w:t>
      </w:r>
    </w:p>
    <w:p>
      <w:r>
        <w:rPr>
          <w:b w:val="0"/>
        </w:rPr>
        <w:t>管理员登记广州港模拟数据源，测试连接并扫描 container_event。系统返回表和 12 个字段的技术信息。管理员选择该表，补充资源说明、责任单位、安全级别和更新方式，再确认字段业务含义并发布。系统生成稳定的资源编号，目录和详情页能够查看。连接失败或信息不完整时，应停在对应步骤并说明原因。</w:t>
      </w:r>
    </w:p>
    <w:p>
      <w:pPr>
        <w:pStyle w:val="Heading2"/>
      </w:pPr>
      <w:r>
        <w:t>3.2 用例二  登记能力并建立受控共享</w:t>
      </w:r>
    </w:p>
    <w:p>
      <w:r>
        <w:rPr>
          <w:b w:val="0"/>
        </w:rPr>
        <w:t>管理员为已发布资源分别登记查询接口和消息主题，验证技术可达性；然后为模拟铁路需求系统建立共享关系，选择访问能力、允许字段、条件范围和有效期。完成执行侧授权联动后，需求方按能力信息调用提供方或订阅消息。资源发布和能力验证本身不授予业务访问权限。</w:t>
      </w:r>
    </w:p>
    <w:p>
      <w:pPr>
        <w:pStyle w:val="Heading2"/>
      </w:pPr>
      <w:r>
        <w:t>3.3 用例三  运行观测与停止共享</w:t>
      </w:r>
    </w:p>
    <w:p>
      <w:r>
        <w:rPr>
          <w:b w:val="0"/>
        </w:rPr>
        <w:t>提供方或需求方周期性上报共享记录数、字节数、调用或消息次数、耗时和结果。管理员查看指定资源与时间窗口的统计，并按追踪编号核对异常。关系暂停、权限撤回或能力不可用后，执行侧应阻止后续未经许可的访问，底座保留原有计量与审计。</w:t>
      </w:r>
    </w:p>
    <w:p>
      <w:pPr>
        <w:pStyle w:val="Heading2"/>
      </w:pPr>
      <w:r>
        <w:t>3.4 实验数据口径</w:t>
      </w:r>
    </w:p>
    <w:p>
      <w:r>
        <w:rPr>
          <w:b w:val="0"/>
        </w:rPr>
        <w:t>首个实验案例为广州港集装箱作业事件，源表为 container_event，消息主题为 port.container.event.v1，查询路径为 /containers/events。现有 20 条事件由 Source 迁移脚本生成，是模拟数据。资源和能力编号由实际系统生成，文档和演示不得把示例编号当作必须固定的真实编号。</w:t>
      </w:r>
    </w:p>
    <w:p>
      <w:r>
        <w:br w:type="page"/>
      </w:r>
    </w:p>
    <w:p>
      <w:pPr>
        <w:pStyle w:val="Heading1"/>
      </w:pPr>
      <w:r>
        <w:t>4  接入管理需求</w:t>
      </w:r>
    </w:p>
    <w:p>
      <w:pPr>
        <w:pStyle w:val="Heading2"/>
      </w:pPr>
      <w:r>
        <w:t>R01  数据源登记与维护</w:t>
      </w:r>
    </w:p>
    <w:p>
      <w:r>
        <w:rPr>
          <w:b w:val="0"/>
        </w:rPr>
        <w:t>系统应支持新增、列表、详情和更新数据源，记录名称、类型、来源说明和连接配置引用。当前必选数据库为 MySQL，其他数据库通过适配器扩展。数据源编号由系统生成；名称和配置引用可以维护，历史引用应保持可追溯。</w:t>
      </w:r>
    </w:p>
    <w:p>
      <w:pPr>
        <w:pStyle w:val="Heading2"/>
      </w:pPr>
      <w:r>
        <w:t>R02  真实连接测试</w:t>
      </w:r>
    </w:p>
    <w:p>
      <w:r>
        <w:rPr>
          <w:b w:val="0"/>
        </w:rPr>
        <w:t>管理员应能触发真实连接检查。成功时展示数据库产品、版本和耗时；失败时区分配置缺失、无法连接等可安全说明的原因。测试结果不得通过静态示例伪造，不得返回密码、完整连接串或底层异常堆栈。</w:t>
      </w:r>
    </w:p>
    <w:p>
      <w:pPr>
        <w:pStyle w:val="Heading2"/>
      </w:pPr>
      <w:r>
        <w:t>R03  元数据扫描与任务记录</w:t>
      </w:r>
    </w:p>
    <w:p>
      <w:r>
        <w:rPr>
          <w:b w:val="0"/>
        </w:rPr>
        <w:t>管理员应能对已登记数据源执行只读扫描。系统记录任务编号、来源、状态、开始和完成时间、表数量和失败原因，并展示表名、注释、字段数与估算行数。选择表后，应展示字段名、类型、主键、可空、默认值和技术注释。扫描不得查询或复制业务明细。</w:t>
      </w:r>
    </w:p>
    <w:p>
      <w:pPr>
        <w:pStyle w:val="Heading2"/>
      </w:pPr>
      <w:r>
        <w:t>R04  扫描结果使用与失败处理</w:t>
      </w:r>
    </w:p>
    <w:p>
      <w:r>
        <w:rPr>
          <w:b w:val="0"/>
        </w:rPr>
        <w:t>仅成功扫描得到的候选表可用于创建资源。配置库以外的扫描请求应拒绝；系统表和迁移历史表不作为业务候选资源。失败任务应可查看原因和重新执行，重复扫描应保留不同任务记录。估算行数只能用于展示，不作为实际共享量。</w:t>
      </w:r>
    </w:p>
    <w:p>
      <w:pPr>
        <w:pStyle w:val="Heading2"/>
      </w:pPr>
      <w:r>
        <w:t>页面与操作要求</w:t>
      </w:r>
    </w:p>
    <w:p>
      <w:r>
        <w:rPr>
          <w:b w:val="0"/>
        </w:rPr>
        <w:t>数据源页提供新增、编辑、测试连接、执行扫描入口；扫描页提供任务选择、结果表和字段抽屉。表格标题和表单标签使用中文，保留技术字段、表名和地址的原始值。执行过程中展示忙碌状态，防止无反馈的重复提交。</w:t>
      </w:r>
    </w:p>
    <w:p>
      <w:pPr>
        <w:pStyle w:val="Heading2"/>
      </w:pPr>
      <w:r>
        <w:t>本模块完成条件</w:t>
      </w:r>
    </w:p>
    <w:p>
      <w:r>
        <w:rPr>
          <w:b w:val="0"/>
        </w:rPr>
        <w:t>在独立测试库中完成数据源登记、真实连接、container_event 扫描、字段展示和失败重试。证明扫描只持久化结构信息；断开源库或使用错误配置时不得显示成功。当前同步扫描方式可用于小规模原型，是否转为后台任务按数据规模再确认。</w:t>
      </w:r>
    </w:p>
    <w:p>
      <w:r>
        <w:br w:type="page"/>
      </w:r>
    </w:p>
    <w:p>
      <w:pPr>
        <w:pStyle w:val="Heading1"/>
      </w:pPr>
      <w:r>
        <w:t>5  资源管理需求</w:t>
      </w:r>
    </w:p>
    <w:p>
      <w:pPr>
        <w:pStyle w:val="Heading2"/>
      </w:pPr>
      <w:r>
        <w:t>R05  从扫描结果创建资源</w:t>
      </w:r>
    </w:p>
    <w:p>
      <w:r>
        <w:rPr>
          <w:b w:val="0"/>
        </w:rPr>
        <w:t>系统应从成功扫描的候选表创建资源草稿，自动关联来源、数据库模式和物理表，并生成资源编号。初期以“一张源表对应一项资源”为实现粒度；同一来源的同一表不重复登记。跨表组合资源列为后续扩展，不作为当前必要功能。</w:t>
      </w:r>
    </w:p>
    <w:p>
      <w:pPr>
        <w:pStyle w:val="Heading2"/>
      </w:pPr>
      <w:r>
        <w:t>R06  人工维护业务信息</w:t>
      </w:r>
    </w:p>
    <w:p>
      <w:r>
        <w:rPr>
          <w:b w:val="0"/>
        </w:rPr>
        <w:t>资源应包含资源名称、业务描述、责任单位、安全级别和更新方式。系统应校验必填项和合法值，允许管理员修改业务信息。技术扫描不得自动决定业务含义、权限或安全级别。安全级别在实验中使用公开、内部、敏感、机密等标签，其正式组织标准需另行确认。</w:t>
      </w:r>
    </w:p>
    <w:p>
      <w:pPr>
        <w:pStyle w:val="Heading2"/>
      </w:pPr>
      <w:r>
        <w:t>R07  字段业务元数据</w:t>
      </w:r>
    </w:p>
    <w:p>
      <w:r>
        <w:rPr>
          <w:b w:val="0"/>
        </w:rPr>
        <w:t>系统应展示源字段名称、类型、主键、可空和技术注释，允许维护业务名称、业务描述、时间字段标记和敏感等级。业务属性编辑不得修改源库字段；重新扫描时不能无提示地覆盖已确认的业务属性。结构发生变化时应按 R23 处理。</w:t>
      </w:r>
    </w:p>
    <w:p>
      <w:pPr>
        <w:pStyle w:val="Heading2"/>
      </w:pPr>
      <w:r>
        <w:t>R08  发布与资源详情</w:t>
      </w:r>
    </w:p>
    <w:p>
      <w:r>
        <w:rPr>
          <w:b w:val="0"/>
        </w:rPr>
        <w:t>管理员确认必要信息后发布草稿。系统应返回资源编号和版本，并在目录显示来源、物理表、安全级别、更新方式和状态。详情页应以基本信息、字段元数据、接口能力三个页签组织内容，能查看该资源下的全部能力。资源发布不自动创建数据复制任务或运行时授权。</w:t>
      </w:r>
    </w:p>
    <w:p>
      <w:pPr>
        <w:pStyle w:val="Heading2"/>
      </w:pPr>
      <w:r>
        <w:t>资源状态与编辑原则</w:t>
      </w:r>
    </w:p>
    <w:p>
      <w:r>
        <w:rPr>
          <w:b w:val="0"/>
        </w:rPr>
        <w:t>当前必要状态为草稿和已发布。草稿可补充信息；已发布资源的业务信息变化应保留编号并增加版本。来源或物理表变更需要明确关联校验和历史处理，不能借普通编辑把资源指向另一份数据。后续停用与退出按 R24 留存历史。</w:t>
      </w:r>
    </w:p>
    <w:p>
      <w:pPr>
        <w:pStyle w:val="Heading2"/>
      </w:pPr>
      <w:r>
        <w:t>本模块完成条件</w:t>
      </w:r>
    </w:p>
    <w:p>
      <w:r>
        <w:rPr>
          <w:b w:val="0"/>
        </w:rPr>
        <w:t>从扫描结果创建、补全字段业务信息、发布并重新打开详情，数据应与后台记录一致。未扫描表、缺少必填信息及重复登记应被拒绝。源库业务表结构和明细不因这些操作而变化。</w:t>
      </w:r>
    </w:p>
    <w:p>
      <w:r>
        <w:br w:type="page"/>
      </w:r>
    </w:p>
    <w:p>
      <w:pPr>
        <w:pStyle w:val="Heading1"/>
      </w:pPr>
      <w:r>
        <w:t>6  接口能力管理需求</w:t>
      </w:r>
    </w:p>
    <w:p>
      <w:pPr>
        <w:pStyle w:val="Heading2"/>
      </w:pPr>
      <w:r>
        <w:t>R09  同一资源下的多种能力</w:t>
      </w:r>
    </w:p>
    <w:p>
      <w:r>
        <w:rPr>
          <w:b w:val="0"/>
        </w:rPr>
        <w:t>系统应为已发布资源登记多项访问能力，分别生成能力编号；类型与所属资源在创建后保持稳定。目录应展示名称、所属资源、类型、路径或主题、生命周期状态、健康状态和版本。未发布资源不能登记能力。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4392"/>
        <w:gridCol w:w="419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能力类型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登记信息</w:t>
            </w:r>
          </w:p>
        </w:tc>
        <w:tc>
          <w:tcPr>
            <w:tcW w:type="dxa" w:w="419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原型中的验证范围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接口查询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名称、请求方式、路径、协议、认证方式、说明。</w:t>
            </w:r>
          </w:p>
        </w:tc>
        <w:tc>
          <w:tcPr>
            <w:tcW w:type="dxa" w:w="419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对指定接口执行不返回业务行的探测。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消息主题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名称、主题、协议、认证方式、消息结构、说明。</w:t>
            </w:r>
          </w:p>
        </w:tc>
        <w:tc>
          <w:tcPr>
            <w:tcW w:type="dxa" w:w="419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检查已配置主题及分区元数据。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数据库变更流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来源表、输出主题、协议、说明与映射。</w:t>
            </w:r>
          </w:p>
        </w:tc>
        <w:tc>
          <w:tcPr>
            <w:tcW w:type="dxa" w:w="419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后续结合采集组件验证状态及变更链路。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只读查询</w:t>
            </w:r>
          </w:p>
        </w:tc>
        <w:tc>
          <w:tcPr>
            <w:tcW w:type="dxa" w:w="4392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名称、查询模板代码、说明。</w:t>
            </w:r>
          </w:p>
        </w:tc>
        <w:tc>
          <w:tcPr>
            <w:tcW w:type="dxa" w:w="419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登记受控模板；后续验证固定模板执行。</w:t>
            </w:r>
          </w:p>
        </w:tc>
      </w:tr>
    </w:tbl>
    <w:p>
      <w:pPr>
        <w:spacing w:after="0"/>
      </w:pPr>
    </w:p>
    <w:p>
      <w:pPr>
        <w:pStyle w:val="Heading2"/>
      </w:pPr>
      <w:r>
        <w:t>R10  类型相关表单与参数校验</w:t>
      </w:r>
    </w:p>
    <w:p>
      <w:r>
        <w:rPr>
          <w:b w:val="0"/>
        </w:rPr>
        <w:t>创建和编辑表单应按类型展示相应字段，拒绝缺失、非法和未知参数。查询能力仅登记模板代码，不接收任意 SQL；认证方式是标签，凭据通过服务端配置或专门凭据服务管理。</w:t>
      </w:r>
    </w:p>
    <w:p>
      <w:pPr>
        <w:pStyle w:val="Heading2"/>
      </w:pPr>
      <w:r>
        <w:t>R11  真实验证与状态记录</w:t>
      </w:r>
    </w:p>
    <w:p>
      <w:r>
        <w:rPr>
          <w:b w:val="0"/>
        </w:rPr>
        <w:t>验证应按适配器执行，并保存成功或失败结果。接口可达、主题存在、业务访问已授权是不同结论。Kafka 元数据验证不能证明消息结构正确或需求方有订阅权限。不支持的类型、认证方式或缺失配置应明确报错。</w:t>
      </w:r>
    </w:p>
    <w:p>
      <w:pPr>
        <w:pStyle w:val="Heading2"/>
      </w:pPr>
      <w:r>
        <w:t>R12  能力启用与禁用</w:t>
      </w:r>
    </w:p>
    <w:p>
      <w:r>
        <w:rPr>
          <w:b w:val="0"/>
        </w:rPr>
        <w:t>只有具备真实验证、运行时联动和相应共享授权的能力才能用于正式共享。启用和禁用不能仅修改目录标签；缺少执行侧控制时应保持操作不可用并说明。生命周期状态与健康状态分开管理。</w:t>
      </w:r>
    </w:p>
    <w:p>
      <w:pPr>
        <w:pStyle w:val="Heading2"/>
      </w:pPr>
      <w:r>
        <w:t>R13  能力变更与历史</w:t>
      </w:r>
    </w:p>
    <w:p>
      <w:r>
        <w:rPr>
          <w:b w:val="0"/>
        </w:rPr>
        <w:t>名称、说明、消息结构或接口定义变更应记录版本。重大变更应重新验证，说明对现有关系的影响，不能在未确认时继续使用过期授权。</w:t>
      </w:r>
    </w:p>
    <w:p>
      <w:r>
        <w:br w:type="page"/>
      </w:r>
    </w:p>
    <w:p>
      <w:pPr>
        <w:pStyle w:val="Heading1"/>
      </w:pPr>
      <w:r>
        <w:t>7  共享治理需求</w:t>
      </w:r>
    </w:p>
    <w:p>
      <w:r>
        <w:rPr>
          <w:b w:val="0"/>
        </w:rPr>
        <w:t>本模块属于最终研究目标，当前 V0.3 仍暂停。进入开发前应确认执行侧的身份验证、授权检查和撤权机制；单管理员角色可完成实验审核，但不能用前端按钮替代运行时控制。</w:t>
      </w:r>
    </w:p>
    <w:p>
      <w:pPr>
        <w:pStyle w:val="Heading2"/>
      </w:pPr>
      <w:r>
        <w:t>R14  共享主体与关系登记</w:t>
      </w:r>
    </w:p>
    <w:p>
      <w:r>
        <w:rPr>
          <w:b w:val="0"/>
        </w:rPr>
        <w:t>管理员应登记模拟提供方和需求方，为某项资源选择具体能力建立共享关系。记录双方标识、用途、允许条件、有效期、审核结论、版本与状态。同一资源的不同能力或需求方应能分别授权。</w:t>
      </w:r>
    </w:p>
    <w:p>
      <w:pPr>
        <w:pStyle w:val="Heading2"/>
      </w:pPr>
      <w:r>
        <w:t>R15  使用条件与权限范围</w:t>
      </w:r>
    </w:p>
    <w:p>
      <w:r>
        <w:rPr>
          <w:b w:val="0"/>
        </w:rPr>
        <w:t>关系至少支持允许字段、时间条件和有效期。身份、关系状态、资源与能力匹配情况、字段和时间范围应共同参与检查。未授予的访问默认拒绝；敏感字段不得因请求参数省略而自动全部返回。实验中的字段及时间过滤规则应可明确复现。</w:t>
      </w:r>
    </w:p>
    <w:p>
      <w:pPr>
        <w:pStyle w:val="Heading2"/>
      </w:pPr>
      <w:r>
        <w:t>R16  管理员审核与状态变更</w:t>
      </w:r>
    </w:p>
    <w:p>
      <w:r>
        <w:rPr>
          <w:b w:val="0"/>
        </w:rPr>
        <w:t>原型由管理员完成提交、确认、启用、暂停或撤回。每次状态变更应记录操作者、时间和原因；未确认的关系不能生效。状态名称可在设计时确定，必须覆盖未生效、有效、暂停、终止等实际含义。</w:t>
      </w:r>
    </w:p>
    <w:p>
      <w:pPr>
        <w:pStyle w:val="Heading2"/>
      </w:pPr>
      <w:r>
        <w:t>R17  执行侧授权检查</w:t>
      </w:r>
    </w:p>
    <w:p>
      <w:r>
        <w:rPr>
          <w:b w:val="0"/>
        </w:rPr>
        <w:t>底座提供授权结果与关系信息，由提供方接口或消息链路中的适配器、认证组件执行。执行侧应核验可信需求主体，不能仅信任请求自报的主体编号。接口查询应限制返回字段和查询条件；消息订阅应配合主题权限或受控分发，不能假定登记字段策略后现有 Topic 就自动实现逐字段过滤。</w:t>
      </w:r>
    </w:p>
    <w:p>
      <w:pPr>
        <w:pStyle w:val="Heading2"/>
      </w:pPr>
      <w:r>
        <w:t>R18  暂停与撤权生效</w:t>
      </w:r>
    </w:p>
    <w:p>
      <w:r>
        <w:rPr>
          <w:b w:val="0"/>
        </w:rPr>
        <w:t>关系暂停、到期、撤回或能力停用后，应阻止下一次未经许可的请求或订阅，并记录拒绝结果。长连接订阅、策略缓存和异常断链情况下的撤权方式需在设计时明确，再作为验收条件；不能只证明管理页状态已改变。</w:t>
      </w:r>
    </w:p>
    <w:p>
      <w:pPr>
        <w:pStyle w:val="Heading2"/>
      </w:pPr>
      <w:r>
        <w:t>必须验证的允许与拒绝用例</w:t>
      </w:r>
    </w:p>
    <w:p>
      <w:r>
        <w:rPr>
          <w:b w:val="0"/>
        </w:rPr>
        <w:t>同一需求方在允许条件内查询成功；访问未授权字段、超出时间范围、关系到期或已撤回时被拒绝。消息链路应验证未授权订阅和撤权后的访问结果。每个用例均能关联共享关系与审计证据。</w:t>
      </w:r>
    </w:p>
    <w:p>
      <w:r>
        <w:br w:type="page"/>
      </w:r>
    </w:p>
    <w:p>
      <w:pPr>
        <w:pStyle w:val="Heading1"/>
      </w:pPr>
      <w:r>
        <w:t>8  运行监管与变更维护需求</w:t>
      </w:r>
    </w:p>
    <w:p>
      <w:pPr>
        <w:pStyle w:val="Heading2"/>
      </w:pPr>
      <w:r>
        <w:t>R19  自动上报计量摘要</w:t>
      </w:r>
    </w:p>
    <w:p>
      <w:r>
        <w:rPr>
          <w:b w:val="0"/>
        </w:rPr>
        <w:t>提供方、需求方或适配器应按观测窗口自动上报资源、能力、共享关系、记录数、字节数、调用或消息次数、成功失败数和耗时。底座接收汇总，不接收业务明细。发布侧与消费侧分别标明采集位置，避免把二者相加造成重复计量。</w:t>
      </w:r>
    </w:p>
    <w:p>
      <w:pPr>
        <w:pStyle w:val="Heading2"/>
      </w:pPr>
      <w:r>
        <w:t>R20  统计口径与可靠上报</w:t>
      </w:r>
    </w:p>
    <w:p>
      <w:r>
        <w:rPr>
          <w:b w:val="0"/>
        </w:rPr>
        <w:t>系统应区分预期更新方式与实际共享频度，按统一时间窗口展示统计。记录数、消息数与调用数使用不同单位；频度按窗口内相应事件数量计算。上报应带窗口和去重标识，重复重试不得重复累计；延迟上报可识别，未收到上报显示未知或缺失，不视为共享量为零。</w:t>
      </w:r>
    </w:p>
    <w:p>
      <w:pPr>
        <w:pStyle w:val="Heading2"/>
      </w:pPr>
      <w:r>
        <w:t>R21  审计记录与查询</w:t>
      </w:r>
    </w:p>
    <w:p>
      <w:r>
        <w:rPr>
          <w:b w:val="0"/>
        </w:rPr>
        <w:t>系统应记录主体、关系、资源、能力、操作时间、结果、失败原因和使用版本，支持按资源、主体、时间和结果查询。审计保留必要的摘要和定位信息，禁止记录密码、令牌及完整业务响应。运行记录的保留期限和归档方式按部署要求确认。</w:t>
      </w:r>
    </w:p>
    <w:p>
      <w:pPr>
        <w:pStyle w:val="Heading2"/>
      </w:pPr>
      <w:r>
        <w:t>R22  追踪与异常定位</w:t>
      </w:r>
    </w:p>
    <w:p>
      <w:r>
        <w:rPr>
          <w:b w:val="0"/>
        </w:rPr>
        <w:t>一次接口调用或一批消息处理应具有可关联的追踪编号，管理员能从底座找到相关运行摘要和结果。消息场景可同时保存主题、分区和位点等技术定位信息。旁路上报失败应可重试或记录补报状态，原则上不阻断已获准的业务共享。</w:t>
      </w:r>
    </w:p>
    <w:p>
      <w:pPr>
        <w:pStyle w:val="Heading2"/>
      </w:pPr>
      <w:r>
        <w:t>R23  结构与能力变更维护</w:t>
      </w:r>
    </w:p>
    <w:p>
      <w:r>
        <w:rPr>
          <w:b w:val="0"/>
        </w:rPr>
        <w:t>重复扫描应识别字段新增、删除和类型变化；能力定义变化应记录对应版本。系统向管理员展示差异，人工确认业务含义或授权是否需调整。源字段删除或敏感级别变化时，不能继续沿用明显失效的字段授权；历史版本和关联记录应保留。</w:t>
      </w:r>
    </w:p>
    <w:p>
      <w:pPr>
        <w:pStyle w:val="Heading2"/>
      </w:pPr>
      <w:r>
        <w:t>R24  资源与共享退出</w:t>
      </w:r>
    </w:p>
    <w:p>
      <w:r>
        <w:rPr>
          <w:b w:val="0"/>
        </w:rPr>
        <w:t>停止共享时应停用能力或解除关系，保留资源、能力、计量与审计的历史引用。底座退出操作不得删除源系统业务数据，也不得通过物理删除历史记录使追踪失效。</w:t>
      </w:r>
    </w:p>
    <w:p>
      <w:r>
        <w:br w:type="page"/>
      </w:r>
    </w:p>
    <w:p>
      <w:pPr>
        <w:pStyle w:val="Heading1"/>
      </w:pPr>
      <w:r>
        <w:t>9  非功能要求与验收条件</w:t>
      </w:r>
    </w:p>
    <w:p>
      <w:pPr>
        <w:pStyle w:val="Heading2"/>
      </w:pPr>
      <w:r>
        <w:t>9.1 非功能要求</w:t>
      </w:r>
    </w:p>
    <w:p>
      <w:r>
        <w:rPr>
          <w:b w:val="0"/>
        </w:rPr>
        <w:t>N01 数据与凭据：底座仅保存结构和治理记录；扫描只读，账户权限按用途隔离，错误与日志不泄露凭据。N02 部署：地址、数据库、主题和认证配置外置；本机无需 Docker，可迁移至跨节点环境，正式部署优先复用既有基础组件。</w:t>
      </w:r>
    </w:p>
    <w:p>
      <w:r>
        <w:rPr>
          <w:b w:val="0"/>
        </w:rPr>
        <w:t>N03 界面与接口：采用 Vue 3、Element Plus、Axios、Vue Router；中文界面、清楚的状态和操作反馈。接口统一返回 code、message、data。N04 可验证性：真实接口优先；演示数据集中维护并明确标识，业务错误不得以 mock 成功覆盖。</w:t>
      </w:r>
    </w:p>
    <w:p>
      <w:r>
        <w:rPr>
          <w:b w:val="0"/>
        </w:rPr>
        <w:t>N05 故障与性能：连接、探测和上报应设置超时并展示安全失败原因；记录实验数据规模、并发、成功率与 P50/P95/P99 时延。研究方案未给出通过阈值，先形成基线，再确认目标，不写入未经验证的性能承诺。</w:t>
      </w:r>
    </w:p>
    <w:p>
      <w:pPr>
        <w:pStyle w:val="Heading2"/>
      </w:pPr>
      <w:r>
        <w:t>9.2 最终验收场景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06"/>
        <w:gridCol w:w="7675"/>
        <w:gridCol w:w="1685"/>
      </w:tblGrid>
      <w:tr>
        <w:trPr>
          <w:tblHeader/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验收动作与证据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对应需求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A01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真实扫描 container_event；字段结构正确，底座无业务明细副本。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R01–R04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A02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补全并发布资源；资源编号、字段业务信息和版本可重新查询。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R05–R08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A03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同一资源登记接口与主题；能力关联正确，成功和失败验证均真实。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R09–R13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A04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建立关系；允许请求成功，未授权字段、时间范围及无效关系被拒绝。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R14–R18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A05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通过接口及消息链路实际共享；数据到需求节点，底座不转发明细。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R17–R18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A06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变更采集链路验证新增、更新、删除；各节点职责和映射明确。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R09、R17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A07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实际事件与窗口计量核对；发布消费分别统计，重复上报不重复累计。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R19–R20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A08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异常与拒绝操作可按追踪编号查到审计，补报故障可定位。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R21–R22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A09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修改字段或能力后识别差异、形成版本，并处理受影响关系。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R13、R23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A10</w:t>
            </w:r>
          </w:p>
        </w:tc>
        <w:tc>
          <w:tcPr>
            <w:tcW w:type="dxa" w:w="767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停止共享阻断后续访问，保留历史；单机与跨节点测试可复现。</w:t>
            </w:r>
          </w:p>
        </w:tc>
        <w:tc>
          <w:tcPr>
            <w:tcW w:type="dxa" w:w="168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R18、R24</w:t>
            </w:r>
          </w:p>
        </w:tc>
      </w:tr>
    </w:tbl>
    <w:p>
      <w:pPr>
        <w:spacing w:after="0"/>
      </w:pPr>
    </w:p>
    <w:p>
      <w:r>
        <w:rPr>
          <w:b w:val="0"/>
        </w:rPr>
        <w:t>A01–A03 为近期基础验收；A04–A10 为后续完整研究验证，不因目录页面可演示而自动通过。测试报告、运行记录及截图应共同说明结果。</w:t>
      </w:r>
    </w:p>
    <w:p>
      <w:r>
        <w:br w:type="page"/>
      </w:r>
    </w:p>
    <w:p>
      <w:pPr>
        <w:pStyle w:val="Heading1"/>
      </w:pPr>
      <w:r>
        <w:t>10  当前基础与开发任务安排</w:t>
      </w:r>
    </w:p>
    <w:p>
      <w:pPr>
        <w:pStyle w:val="Heading2"/>
      </w:pPr>
      <w:r>
        <w:t>10.1 当前实现快照</w:t>
      </w:r>
    </w:p>
    <w:p>
      <w:r>
        <w:rPr>
          <w:b w:val="0"/>
        </w:rPr>
        <w:t>截至 2026年10月2日，项目文档记录 V0.1 已完成数据源、扫描、资源发布和字段维护，V0.2 已完成四类能力登记、指定接口探测、提供方消息生产与 Topic 元数据验证。中文管理前端具备上述页面；资源和能力的真实编号由系统生成。</w:t>
      </w:r>
    </w:p>
    <w:p>
      <w:r>
        <w:rPr>
          <w:b w:val="0"/>
        </w:rPr>
        <w:t>2026年10月1日的验证记录为 25 项后端测试通过，含独立 MySQL 与嵌入式 Kafka；前端构建及浏览器流程测试通过。常驻 Kafka Broker 尚需独立部署配置。能力启用、共享授权、运行计量、审计、需求方服务及变更采集尚未形成完整运行闭环；前端演示入口未提供服务端身份认证。</w:t>
      </w:r>
    </w:p>
    <w:p>
      <w:pPr>
        <w:pStyle w:val="Heading2"/>
      </w:pPr>
      <w:r>
        <w:t>10.2 按依赖顺序拆分任务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4867"/>
        <w:gridCol w:w="3859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867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开发任务与进入条件</w:t>
            </w:r>
          </w:p>
        </w:tc>
        <w:tc>
          <w:tcPr>
            <w:tcW w:type="dxa" w:w="3859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  <w:shd w:fill="E4EEF5"/>
          </w:tcPr>
          <w:p>
            <w:pPr>
              <w:spacing w:after="20" w:line="280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交付结果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近期 V0.2</w:t>
            </w:r>
          </w:p>
        </w:tc>
        <w:tc>
          <w:tcPr>
            <w:tcW w:type="dxa" w:w="4867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巩固真实数据源→扫描→发布→能力验证；配置常驻 Broker，补齐实际演示说明。</w:t>
            </w:r>
          </w:p>
        </w:tc>
        <w:tc>
          <w:tcPr>
            <w:tcW w:type="dxa" w:w="3859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A01–A03 的可复现步骤与证据；失败和演示标识清楚。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后续 V0.3</w:t>
            </w:r>
          </w:p>
        </w:tc>
        <w:tc>
          <w:tcPr>
            <w:tcW w:type="dxa" w:w="4867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确认执行侧身份、权限与撤权方案后，再实现主体、关系、字段和时间条件；当前暂停。</w:t>
            </w:r>
          </w:p>
        </w:tc>
        <w:tc>
          <w:tcPr>
            <w:tcW w:type="dxa" w:w="3859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A04 及运行时允许与拒绝结果，不能只交目录状态。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后续 V0.4</w:t>
            </w:r>
          </w:p>
        </w:tc>
        <w:tc>
          <w:tcPr>
            <w:tcW w:type="dxa" w:w="4867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在授权链路可验证后，接入异步计量、审计、追踪与窗口去重。</w:t>
            </w:r>
          </w:p>
        </w:tc>
        <w:tc>
          <w:tcPr>
            <w:tcW w:type="dxa" w:w="3859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A07–A08 的统计核对与异常证据。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后续 V0.5</w:t>
            </w:r>
          </w:p>
        </w:tc>
        <w:tc>
          <w:tcPr>
            <w:tcW w:type="dxa" w:w="4867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协作实现最小需求方，验证接口和消息消费，再接变更采集。</w:t>
            </w:r>
          </w:p>
        </w:tc>
        <w:tc>
          <w:tcPr>
            <w:tcW w:type="dxa" w:w="3859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A05–A06 的链路、消费结果和运行摘要。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后续 V1.0</w:t>
            </w:r>
          </w:p>
        </w:tc>
        <w:tc>
          <w:tcPr>
            <w:tcW w:type="dxa" w:w="4867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完善变更差异、版本、退出及跨节点实验，整理完整演示。</w:t>
            </w:r>
          </w:p>
        </w:tc>
        <w:tc>
          <w:tcPr>
            <w:tcW w:type="dxa" w:w="3859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 w:line="280" w:lineRule="exac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A09–A10、部署说明及实验报告。</w:t>
            </w:r>
          </w:p>
        </w:tc>
      </w:tr>
    </w:tbl>
    <w:p>
      <w:pPr>
        <w:spacing w:after="0"/>
      </w:pPr>
    </w:p>
    <w:p>
      <w:pPr>
        <w:pStyle w:val="Heading2"/>
      </w:pPr>
      <w:r>
        <w:t>10.3 设计前仍需确定的事项</w:t>
      </w:r>
    </w:p>
    <w:p>
      <w:r>
        <w:rPr>
          <w:b w:val="0"/>
        </w:rPr>
        <w:t>管理员已确认兼任审核；当前无硬性完成期限或性能指标。后续需明确消息链路的字段限制和撤权实现、身份凭据的获取与验证、计量字节数的采集边界、跨节点实验资源，以及正式运行记录保留期。以上事项在相应阶段开始前形成设计结论，不阻碍现有接入与资源功能整理。</w:t>
      </w:r>
    </w:p>
    <w:p>
      <w:pPr>
        <w:pStyle w:val="Heading2"/>
      </w:pPr>
      <w:r>
        <w:t>10.4 需求来源与变更规则</w:t>
      </w:r>
    </w:p>
    <w:p>
      <w:r>
        <w:rPr>
          <w:b w:val="0"/>
        </w:rPr>
        <w:t>研究依据：《研究内容一与研究内容三_研发实施方案_汇报稿.docx》第 3.1–3.10 节、第 7–8 章及第 10–12 章。工程现状依据：README、ROADMAP、IMPLEMENTATION_STATUS 和现有接口文档。研究内容三的问数找数不纳入本需求实现范围。</w:t>
      </w:r>
    </w:p>
    <w:p>
      <w:r>
        <w:rPr>
          <w:b w:val="0"/>
        </w:rPr>
        <w:t>新增或修改需求时，应记录需求编号、理由、来源、受影响模块及验收条件。阶段完成标记以实际测试证据为准；改变后续开发安排需重新确认范围。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7"/>
      </w:rPr>
      <w:t>研究内容一  统一数据底座  开发需求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exact"/>
      <w:widowControl/>
      <w:snapToGrid w:val="0"/>
    </w:pPr>
    <w:rPr>
      <w:rFonts w:ascii="SimSun" w:hAnsi="SimSun" w:eastAsia="SimSu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42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30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exact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50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300" w:lineRule="exact"/>
      <w:snapToGrid w:val="0"/>
    </w:pPr>
    <w:rPr>
      <w:rFonts w:asciiTheme="majorHAnsi" w:eastAsiaTheme="majorEastAsia" w:hAnsiTheme="majorHAnsi" w:cstheme="majorBidi" w:ascii="SimSun" w:hAnsi="SimSun" w:eastAsia="SimSun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统一数据底座虚拟接入需求说明书</dc:title>
  <dc:subject>研究内容一中的统一数据底座开发需求与阶段验收</dc:subject>
  <dc:creator/>
  <cp:keywords>统一数据底座 虚拟接入 需求说明书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