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6" w:type="dxa"/>
        <w:tblLook w:val="01E0" w:firstRow="1" w:lastRow="1" w:firstColumn="1" w:lastColumn="1" w:noHBand="0" w:noVBand="0"/>
      </w:tblPr>
      <w:tblGrid>
        <w:gridCol w:w="2034"/>
        <w:gridCol w:w="2185"/>
        <w:gridCol w:w="1251"/>
        <w:gridCol w:w="1251"/>
        <w:gridCol w:w="3285"/>
      </w:tblGrid>
      <w:tr w:rsidR="0096122A" w:rsidRPr="00FC70F7" w14:paraId="3D1CD56A" w14:textId="77777777" w:rsidTr="00CF6249">
        <w:tc>
          <w:tcPr>
            <w:tcW w:w="4219" w:type="dxa"/>
            <w:gridSpan w:val="2"/>
            <w:vAlign w:val="bottom"/>
          </w:tcPr>
          <w:p w14:paraId="25EBA98B" w14:textId="77777777" w:rsidR="0096122A" w:rsidRPr="00FC70F7" w:rsidRDefault="00CF6249" w:rsidP="00FB3B7E">
            <w:pPr>
              <w:spacing w:before="120" w:after="0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CHEM202 LABORATORY REPORT</w:t>
            </w:r>
          </w:p>
        </w:tc>
        <w:tc>
          <w:tcPr>
            <w:tcW w:w="2502" w:type="dxa"/>
            <w:gridSpan w:val="2"/>
            <w:vAlign w:val="center"/>
          </w:tcPr>
          <w:p w14:paraId="5CD3F7E9" w14:textId="77777777" w:rsidR="0096122A" w:rsidRPr="00FC70F7" w:rsidRDefault="0096122A" w:rsidP="00FB3B7E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Name:</w:t>
            </w:r>
          </w:p>
        </w:tc>
        <w:tc>
          <w:tcPr>
            <w:tcW w:w="3285" w:type="dxa"/>
            <w:shd w:val="clear" w:color="auto" w:fill="auto"/>
            <w:vAlign w:val="bottom"/>
          </w:tcPr>
          <w:p w14:paraId="4ADA8B3F" w14:textId="7A100E4E" w:rsidR="0096122A" w:rsidRPr="00FC70F7" w:rsidRDefault="00FC70F7" w:rsidP="00FB3B7E">
            <w:pPr>
              <w:spacing w:before="120" w:after="0"/>
              <w:rPr>
                <w:lang w:val="en-NZ"/>
              </w:rPr>
            </w:pPr>
            <w:r w:rsidRPr="00FC70F7">
              <w:rPr>
                <w:lang w:val="en-NZ"/>
              </w:rPr>
              <w:t>Harry Stanley</w:t>
            </w:r>
          </w:p>
        </w:tc>
      </w:tr>
      <w:tr w:rsidR="0096122A" w:rsidRPr="00FC70F7" w14:paraId="0DD0F382" w14:textId="77777777" w:rsidTr="00CF6249">
        <w:tc>
          <w:tcPr>
            <w:tcW w:w="2034" w:type="dxa"/>
            <w:vAlign w:val="bottom"/>
          </w:tcPr>
          <w:p w14:paraId="16342212" w14:textId="744DA72D" w:rsidR="0096122A" w:rsidRPr="00FC70F7" w:rsidRDefault="0096122A" w:rsidP="00FB3B7E">
            <w:pPr>
              <w:spacing w:before="120" w:after="0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 xml:space="preserve">Experiment </w:t>
            </w:r>
            <w:r w:rsidR="00FC70F7" w:rsidRPr="00FC70F7">
              <w:rPr>
                <w:b/>
                <w:lang w:val="en-NZ"/>
              </w:rPr>
              <w:t>4</w:t>
            </w:r>
          </w:p>
        </w:tc>
        <w:tc>
          <w:tcPr>
            <w:tcW w:w="2185" w:type="dxa"/>
            <w:vAlign w:val="bottom"/>
          </w:tcPr>
          <w:p w14:paraId="690BC8DB" w14:textId="77777777" w:rsidR="0096122A" w:rsidRPr="00FC70F7" w:rsidRDefault="0096122A" w:rsidP="00FB3B7E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Lab Day:</w:t>
            </w:r>
          </w:p>
        </w:tc>
        <w:tc>
          <w:tcPr>
            <w:tcW w:w="1251" w:type="dxa"/>
            <w:vAlign w:val="center"/>
          </w:tcPr>
          <w:p w14:paraId="04255BDE" w14:textId="047E964E" w:rsidR="0096122A" w:rsidRPr="00FC70F7" w:rsidRDefault="00FC70F7" w:rsidP="00FB3B7E">
            <w:pPr>
              <w:spacing w:before="120" w:after="0"/>
              <w:jc w:val="right"/>
              <w:rPr>
                <w:b/>
                <w:lang w:val="en-NZ"/>
              </w:rPr>
            </w:pPr>
            <w:r>
              <w:rPr>
                <w:b/>
                <w:lang w:val="en-NZ"/>
              </w:rPr>
              <w:t>Thursday</w:t>
            </w:r>
          </w:p>
        </w:tc>
        <w:tc>
          <w:tcPr>
            <w:tcW w:w="1251" w:type="dxa"/>
            <w:vAlign w:val="center"/>
          </w:tcPr>
          <w:p w14:paraId="2842131D" w14:textId="77777777" w:rsidR="0096122A" w:rsidRPr="00FC70F7" w:rsidRDefault="0096122A" w:rsidP="00FB3B7E">
            <w:pPr>
              <w:spacing w:before="120" w:after="0"/>
              <w:jc w:val="right"/>
              <w:rPr>
                <w:b/>
                <w:lang w:val="en-NZ"/>
              </w:rPr>
            </w:pPr>
            <w:r w:rsidRPr="00FC70F7">
              <w:rPr>
                <w:b/>
                <w:lang w:val="en-NZ"/>
              </w:rPr>
              <w:t>Date:</w:t>
            </w:r>
          </w:p>
        </w:tc>
        <w:tc>
          <w:tcPr>
            <w:tcW w:w="3285" w:type="dxa"/>
            <w:shd w:val="clear" w:color="auto" w:fill="auto"/>
            <w:vAlign w:val="bottom"/>
          </w:tcPr>
          <w:p w14:paraId="09E4139C" w14:textId="23171214" w:rsidR="0096122A" w:rsidRPr="00FC70F7" w:rsidRDefault="00FC70F7" w:rsidP="00FB3B7E">
            <w:pPr>
              <w:spacing w:before="120" w:after="0"/>
              <w:rPr>
                <w:lang w:val="en-NZ"/>
              </w:rPr>
            </w:pPr>
            <w:r w:rsidRPr="00FC70F7">
              <w:rPr>
                <w:b/>
                <w:lang w:val="en-NZ"/>
              </w:rPr>
              <w:t>3/04/25</w:t>
            </w:r>
          </w:p>
        </w:tc>
      </w:tr>
    </w:tbl>
    <w:p w14:paraId="241A7FAB" w14:textId="174EDF0E" w:rsidR="0096122A" w:rsidRPr="00FC70F7" w:rsidRDefault="00FC70F7" w:rsidP="0096122A">
      <w:pPr>
        <w:spacing w:before="240" w:after="240"/>
        <w:outlineLvl w:val="0"/>
        <w:rPr>
          <w:b/>
          <w:i/>
          <w:sz w:val="28"/>
          <w:szCs w:val="28"/>
          <w:u w:val="single"/>
          <w:lang w:val="en-NZ"/>
        </w:rPr>
      </w:pPr>
      <w:r>
        <w:rPr>
          <w:b/>
          <w:i/>
          <w:sz w:val="28"/>
          <w:szCs w:val="28"/>
          <w:u w:val="single"/>
          <w:lang w:val="en-NZ"/>
        </w:rPr>
        <w:t>Synthesis of a substituted quinoline</w:t>
      </w:r>
    </w:p>
    <w:p w14:paraId="27A09ADD" w14:textId="77777777" w:rsidR="0096122A" w:rsidRPr="00FC70F7" w:rsidRDefault="0096122A">
      <w:pPr>
        <w:rPr>
          <w:b/>
          <w:u w:val="single"/>
          <w:lang w:val="en-NZ"/>
        </w:rPr>
      </w:pPr>
      <w:r w:rsidRPr="00FC70F7">
        <w:rPr>
          <w:b/>
          <w:u w:val="single"/>
          <w:lang w:val="en-NZ"/>
        </w:rPr>
        <w:t>Abstract</w:t>
      </w:r>
    </w:p>
    <w:p w14:paraId="5761DEA9" w14:textId="215F9C75" w:rsidR="0096122A" w:rsidRPr="002936AC" w:rsidRDefault="00347F3D" w:rsidP="0096122A">
      <w:pPr>
        <w:jc w:val="both"/>
        <w:rPr>
          <w:bCs/>
          <w:lang w:val="en-NZ"/>
        </w:rPr>
      </w:pPr>
      <w:r>
        <w:rPr>
          <w:bCs/>
          <w:lang w:val="en-NZ"/>
        </w:rPr>
        <w:t xml:space="preserve">In this experiment, a mono-substituted quinoline was </w:t>
      </w:r>
      <w:r w:rsidR="00D8503E">
        <w:rPr>
          <w:bCs/>
          <w:lang w:val="en-NZ"/>
        </w:rPr>
        <w:t>synthesised via the Skraup synthesis</w:t>
      </w:r>
      <w:r w:rsidR="000A1D54">
        <w:rPr>
          <w:bCs/>
          <w:lang w:val="en-NZ"/>
        </w:rPr>
        <w:t xml:space="preserve"> by refluxing a substituted aniline with glycerol under strongly acidic and oxidizing conditions</w:t>
      </w:r>
      <w:r w:rsidR="000350E3">
        <w:rPr>
          <w:bCs/>
          <w:lang w:val="en-NZ"/>
        </w:rPr>
        <w:t xml:space="preserve"> (conc. H</w:t>
      </w:r>
      <w:r w:rsidR="000350E3">
        <w:rPr>
          <w:bCs/>
          <w:vertAlign w:val="subscript"/>
          <w:lang w:val="en-NZ"/>
        </w:rPr>
        <w:t>2</w:t>
      </w:r>
      <w:r w:rsidR="000350E3">
        <w:rPr>
          <w:bCs/>
          <w:lang w:val="en-NZ"/>
        </w:rPr>
        <w:t>SO</w:t>
      </w:r>
      <w:r w:rsidR="000350E3">
        <w:rPr>
          <w:bCs/>
          <w:vertAlign w:val="subscript"/>
          <w:lang w:val="en-NZ"/>
        </w:rPr>
        <w:t>4</w:t>
      </w:r>
      <w:r w:rsidR="000350E3">
        <w:rPr>
          <w:bCs/>
          <w:lang w:val="en-NZ"/>
        </w:rPr>
        <w:t>, I</w:t>
      </w:r>
      <w:r w:rsidR="000350E3">
        <w:rPr>
          <w:bCs/>
          <w:vertAlign w:val="subscript"/>
          <w:lang w:val="en-NZ"/>
        </w:rPr>
        <w:t>2</w:t>
      </w:r>
      <w:r w:rsidR="000350E3">
        <w:rPr>
          <w:bCs/>
          <w:lang w:val="en-NZ"/>
        </w:rPr>
        <w:t>, FeSO</w:t>
      </w:r>
      <w:r w:rsidR="000350E3">
        <w:rPr>
          <w:bCs/>
          <w:vertAlign w:val="subscript"/>
          <w:lang w:val="en-NZ"/>
        </w:rPr>
        <w:t>4</w:t>
      </w:r>
      <w:r w:rsidR="000350E3">
        <w:rPr>
          <w:bCs/>
          <w:lang w:val="en-NZ"/>
        </w:rPr>
        <w:t>)</w:t>
      </w:r>
      <w:r w:rsidR="000A1D54">
        <w:rPr>
          <w:bCs/>
          <w:lang w:val="en-NZ"/>
        </w:rPr>
        <w:t>.</w:t>
      </w:r>
      <w:r w:rsidR="000350E3">
        <w:rPr>
          <w:bCs/>
          <w:lang w:val="en-NZ"/>
        </w:rPr>
        <w:t xml:space="preserve"> Glycerol dehydrated to form acrolein, followed by coupling of the aniline </w:t>
      </w:r>
      <w:r w:rsidR="002936AC">
        <w:rPr>
          <w:bCs/>
          <w:lang w:val="en-NZ"/>
        </w:rPr>
        <w:t>with</w:t>
      </w:r>
      <w:r w:rsidR="000350E3">
        <w:rPr>
          <w:bCs/>
          <w:lang w:val="en-NZ"/>
        </w:rPr>
        <w:t xml:space="preserve"> the </w:t>
      </w:r>
      <w:r w:rsidR="002936AC">
        <w:rPr>
          <w:bCs/>
          <w:lang w:val="en-NZ"/>
        </w:rPr>
        <w:t>acrolein</w:t>
      </w:r>
      <w:r w:rsidR="000350E3">
        <w:rPr>
          <w:bCs/>
          <w:lang w:val="en-NZ"/>
        </w:rPr>
        <w:t xml:space="preserve"> to produce a quinoline ring system. </w:t>
      </w:r>
      <w:r w:rsidR="002936AC">
        <w:rPr>
          <w:bCs/>
          <w:lang w:val="en-NZ"/>
        </w:rPr>
        <w:t>After 90 minutes of reflux at 150</w:t>
      </w:r>
      <w:r w:rsidR="002936AC">
        <w:rPr>
          <w:bCs/>
          <w:vertAlign w:val="superscript"/>
          <w:lang w:val="en-NZ"/>
        </w:rPr>
        <w:t>o</w:t>
      </w:r>
      <w:r w:rsidR="002936AC">
        <w:rPr>
          <w:bCs/>
          <w:lang w:val="en-NZ"/>
        </w:rPr>
        <w:t xml:space="preserve">C the reaction mixture was then neutralized and worked up by extraction, drying and removing solvent. The product was then analysed using </w:t>
      </w:r>
      <w:r w:rsidR="002936AC">
        <w:rPr>
          <w:bCs/>
          <w:vertAlign w:val="superscript"/>
          <w:lang w:val="en-NZ"/>
        </w:rPr>
        <w:t>1</w:t>
      </w:r>
      <w:r w:rsidR="002936AC">
        <w:rPr>
          <w:bCs/>
          <w:lang w:val="en-NZ"/>
        </w:rPr>
        <w:t>H NMR, including COSY and NOESY data which allowed for precise assignment of proton signal and confirmation of the unknown starting aniline.</w:t>
      </w:r>
    </w:p>
    <w:tbl>
      <w:tblPr>
        <w:tblW w:w="10155" w:type="dxa"/>
        <w:tblLook w:val="01E0" w:firstRow="1" w:lastRow="1" w:firstColumn="1" w:lastColumn="1" w:noHBand="0" w:noVBand="0"/>
      </w:tblPr>
      <w:tblGrid>
        <w:gridCol w:w="10155"/>
      </w:tblGrid>
      <w:tr w:rsidR="0096122A" w:rsidRPr="00FC70F7" w14:paraId="09C3DF35" w14:textId="77777777" w:rsidTr="009B2C41">
        <w:trPr>
          <w:trHeight w:val="4345"/>
        </w:trPr>
        <w:tc>
          <w:tcPr>
            <w:tcW w:w="10155" w:type="dxa"/>
            <w:shd w:val="clear" w:color="auto" w:fill="auto"/>
            <w:vAlign w:val="center"/>
          </w:tcPr>
          <w:p w14:paraId="2159B6BB" w14:textId="5B842026" w:rsidR="0096122A" w:rsidRPr="00FC70F7" w:rsidRDefault="00224650" w:rsidP="00FB3B7E">
            <w:pPr>
              <w:jc w:val="center"/>
              <w:rPr>
                <w:b/>
                <w:i/>
                <w:lang w:val="en-NZ"/>
              </w:rPr>
            </w:pPr>
            <w:r w:rsidRPr="00224650">
              <w:rPr>
                <w:b/>
                <w:i/>
                <w:noProof/>
                <w:lang w:val="en-NZ"/>
              </w:rPr>
              <w:drawing>
                <wp:inline distT="0" distB="0" distL="0" distR="0" wp14:anchorId="76D2318F" wp14:editId="78C44065">
                  <wp:extent cx="6120765" cy="1973580"/>
                  <wp:effectExtent l="0" t="0" r="0" b="7620"/>
                  <wp:docPr id="1904238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389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69B5E" w14:textId="77777777" w:rsidR="0096122A" w:rsidRPr="00FC70F7" w:rsidRDefault="0096122A" w:rsidP="0096122A">
      <w:pPr>
        <w:spacing w:before="240"/>
        <w:rPr>
          <w:b/>
          <w:u w:val="single"/>
          <w:lang w:val="en-NZ"/>
        </w:rPr>
      </w:pPr>
      <w:r w:rsidRPr="00FC70F7">
        <w:rPr>
          <w:b/>
          <w:u w:val="single"/>
          <w:lang w:val="en-NZ"/>
        </w:rPr>
        <w:t>Experimental</w:t>
      </w:r>
    </w:p>
    <w:p w14:paraId="279337F2" w14:textId="493B00D9" w:rsidR="0096122A" w:rsidRPr="00FC70F7" w:rsidRDefault="0096122A" w:rsidP="0096122A">
      <w:pPr>
        <w:spacing w:after="240"/>
        <w:jc w:val="both"/>
        <w:rPr>
          <w:lang w:val="en-NZ"/>
        </w:rPr>
      </w:pPr>
      <w:r w:rsidRPr="00FC70F7">
        <w:rPr>
          <w:lang w:val="en-NZ"/>
        </w:rPr>
        <w:t>The exper</w:t>
      </w:r>
      <w:r w:rsidR="00B74C17" w:rsidRPr="00FC70F7">
        <w:rPr>
          <w:lang w:val="en-NZ"/>
        </w:rPr>
        <w:t>iment was performed as detailed in the CHEM</w:t>
      </w:r>
      <w:r w:rsidRPr="00FC70F7">
        <w:rPr>
          <w:lang w:val="en-NZ"/>
        </w:rPr>
        <w:t>202 laboratory manual (p</w:t>
      </w:r>
      <w:r w:rsidR="00C309BE">
        <w:rPr>
          <w:lang w:val="en-NZ"/>
        </w:rPr>
        <w:t>29</w:t>
      </w:r>
      <w:r w:rsidRPr="00FC70F7">
        <w:rPr>
          <w:lang w:val="en-NZ"/>
        </w:rPr>
        <w:t>), without modification. The accurate masses used of the reagents are detailed below.</w:t>
      </w:r>
    </w:p>
    <w:tbl>
      <w:tblPr>
        <w:tblW w:w="974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626"/>
        <w:gridCol w:w="1627"/>
        <w:gridCol w:w="1627"/>
        <w:gridCol w:w="1627"/>
      </w:tblGrid>
      <w:tr w:rsidR="0096122A" w:rsidRPr="00FC70F7" w14:paraId="5034306F" w14:textId="77777777" w:rsidTr="009E1E13">
        <w:trPr>
          <w:jc w:val="right"/>
        </w:trPr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5D60DBD" w14:textId="77777777" w:rsidR="0096122A" w:rsidRPr="00FC70F7" w:rsidRDefault="0096122A" w:rsidP="00FB3B7E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Substance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center"/>
          </w:tcPr>
          <w:p w14:paraId="0FD9E8CD" w14:textId="77777777" w:rsidR="0096122A" w:rsidRPr="00FC70F7" w:rsidRDefault="0096122A" w:rsidP="00FB3B7E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Formula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35C4AB7C" w14:textId="77777777" w:rsidR="0096122A" w:rsidRPr="00FC70F7" w:rsidRDefault="0096122A" w:rsidP="00FB3B7E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M</w:t>
            </w:r>
            <w:r w:rsidRPr="00FC70F7">
              <w:rPr>
                <w:b/>
                <w:spacing w:val="-3"/>
                <w:vertAlign w:val="subscript"/>
                <w:lang w:val="en-GB"/>
              </w:rPr>
              <w:t>r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54F37190" w14:textId="77777777" w:rsidR="0096122A" w:rsidRPr="00FC70F7" w:rsidRDefault="0096122A" w:rsidP="00FB3B7E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mass</w:t>
            </w:r>
            <w:r w:rsidRPr="00FC70F7">
              <w:rPr>
                <w:b/>
                <w:spacing w:val="-3"/>
                <w:lang w:val="en-GB"/>
              </w:rPr>
              <w:br/>
              <w:t>(g)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1A588006" w14:textId="77777777" w:rsidR="0096122A" w:rsidRPr="00FC70F7" w:rsidRDefault="0096122A" w:rsidP="00FB3B7E">
            <w:pPr>
              <w:spacing w:before="60" w:after="60"/>
              <w:jc w:val="center"/>
              <w:rPr>
                <w:b/>
                <w:spacing w:val="-3"/>
                <w:lang w:val="en-GB"/>
              </w:rPr>
            </w:pPr>
            <w:r w:rsidRPr="00FC70F7">
              <w:rPr>
                <w:b/>
                <w:spacing w:val="-3"/>
                <w:lang w:val="en-GB"/>
              </w:rPr>
              <w:t>amount</w:t>
            </w:r>
            <w:r w:rsidRPr="00FC70F7">
              <w:rPr>
                <w:b/>
                <w:spacing w:val="-3"/>
                <w:lang w:val="en-GB"/>
              </w:rPr>
              <w:br/>
              <w:t>(mmol)</w:t>
            </w:r>
          </w:p>
        </w:tc>
      </w:tr>
      <w:tr w:rsidR="0096122A" w:rsidRPr="00FC70F7" w14:paraId="35FA88CF" w14:textId="77777777" w:rsidTr="009E1E13">
        <w:trPr>
          <w:jc w:val="right"/>
        </w:trPr>
        <w:tc>
          <w:tcPr>
            <w:tcW w:w="3240" w:type="dxa"/>
            <w:shd w:val="clear" w:color="auto" w:fill="auto"/>
            <w:vAlign w:val="center"/>
          </w:tcPr>
          <w:p w14:paraId="7D32EC62" w14:textId="5C56BC61" w:rsidR="0096122A" w:rsidRPr="00FC70F7" w:rsidRDefault="00DC3168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</w:t>
            </w:r>
            <w:r w:rsidR="009E1E13">
              <w:rPr>
                <w:spacing w:val="-3"/>
                <w:lang w:val="en-GB"/>
              </w:rPr>
              <w:t>-</w:t>
            </w:r>
            <w:r>
              <w:rPr>
                <w:spacing w:val="-3"/>
                <w:lang w:val="en-GB"/>
              </w:rPr>
              <w:t>(tert-butyl)</w:t>
            </w:r>
            <w:r w:rsidR="009E1E13">
              <w:rPr>
                <w:spacing w:val="-3"/>
                <w:lang w:val="en-GB"/>
              </w:rPr>
              <w:t>aniline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5A3788B" w14:textId="089FBE20" w:rsidR="0096122A" w:rsidRPr="008D48F5" w:rsidRDefault="008D48F5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C</w:t>
            </w:r>
            <w:r>
              <w:rPr>
                <w:spacing w:val="-3"/>
                <w:vertAlign w:val="subscript"/>
                <w:lang w:val="en-GB"/>
              </w:rPr>
              <w:t>10</w:t>
            </w:r>
            <w:r>
              <w:rPr>
                <w:spacing w:val="-3"/>
                <w:lang w:val="en-GB"/>
              </w:rPr>
              <w:t>H</w:t>
            </w:r>
            <w:r>
              <w:rPr>
                <w:spacing w:val="-3"/>
                <w:vertAlign w:val="subscript"/>
                <w:lang w:val="en-GB"/>
              </w:rPr>
              <w:t>15</w:t>
            </w:r>
            <w:r>
              <w:rPr>
                <w:spacing w:val="-3"/>
                <w:lang w:val="en-GB"/>
              </w:rPr>
              <w:t>N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0B54399A" w14:textId="6BBC7B42" w:rsidR="0096122A" w:rsidRPr="00FC70F7" w:rsidRDefault="008D48F5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149.23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93278E6" w14:textId="06DEDBDD" w:rsidR="0096122A" w:rsidRPr="00FC70F7" w:rsidRDefault="008D48F5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0.863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054F2FC" w14:textId="0FB13046" w:rsidR="0096122A" w:rsidRPr="00FC70F7" w:rsidRDefault="00C309BE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 w:rsidRPr="00C309BE">
              <w:rPr>
                <w:spacing w:val="-3"/>
                <w:lang w:val="en-GB"/>
              </w:rPr>
              <w:t>5.78</w:t>
            </w:r>
          </w:p>
        </w:tc>
      </w:tr>
      <w:tr w:rsidR="0096122A" w:rsidRPr="00FC70F7" w14:paraId="35EEAB11" w14:textId="77777777" w:rsidTr="009E1E13">
        <w:trPr>
          <w:jc w:val="right"/>
        </w:trPr>
        <w:tc>
          <w:tcPr>
            <w:tcW w:w="3240" w:type="dxa"/>
            <w:shd w:val="clear" w:color="auto" w:fill="auto"/>
            <w:vAlign w:val="center"/>
          </w:tcPr>
          <w:p w14:paraId="4E93CC87" w14:textId="58907DE2" w:rsidR="0096122A" w:rsidRPr="00FC70F7" w:rsidRDefault="009E1E13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Glycerol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71A2C64" w14:textId="5A2AC77D" w:rsidR="0096122A" w:rsidRPr="008D48F5" w:rsidRDefault="008D48F5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C</w:t>
            </w:r>
            <w:r>
              <w:rPr>
                <w:spacing w:val="-3"/>
                <w:vertAlign w:val="subscript"/>
                <w:lang w:val="en-GB"/>
              </w:rPr>
              <w:t>3</w:t>
            </w:r>
            <w:r>
              <w:rPr>
                <w:spacing w:val="-3"/>
                <w:lang w:val="en-GB"/>
              </w:rPr>
              <w:t>H</w:t>
            </w:r>
            <w:r>
              <w:rPr>
                <w:spacing w:val="-3"/>
                <w:vertAlign w:val="subscript"/>
                <w:lang w:val="en-GB"/>
              </w:rPr>
              <w:t>8</w:t>
            </w:r>
            <w:r>
              <w:rPr>
                <w:spacing w:val="-3"/>
                <w:lang w:val="en-GB"/>
              </w:rPr>
              <w:t>O</w:t>
            </w:r>
            <w:r>
              <w:rPr>
                <w:spacing w:val="-3"/>
                <w:vertAlign w:val="subscript"/>
                <w:lang w:val="en-GB"/>
              </w:rPr>
              <w:t>3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225A788" w14:textId="2A5498A9" w:rsidR="0096122A" w:rsidRPr="00FC70F7" w:rsidRDefault="008D48F5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92.09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5998F6E1" w14:textId="33A3B78F" w:rsidR="0096122A" w:rsidRPr="00FC70F7" w:rsidRDefault="00C76491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3.09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5C43F3D9" w14:textId="6ACC6F19" w:rsidR="0096122A" w:rsidRPr="00FC70F7" w:rsidRDefault="00C76491" w:rsidP="00FB3B7E">
            <w:pPr>
              <w:spacing w:before="60" w:after="60"/>
              <w:jc w:val="center"/>
              <w:rPr>
                <w:spacing w:val="-3"/>
                <w:lang w:val="en-GB"/>
              </w:rPr>
            </w:pPr>
            <w:r w:rsidRPr="00C76491">
              <w:rPr>
                <w:spacing w:val="-3"/>
                <w:lang w:val="en-GB"/>
              </w:rPr>
              <w:t>33.</w:t>
            </w:r>
            <w:r w:rsidR="00AB593D">
              <w:rPr>
                <w:spacing w:val="-3"/>
                <w:lang w:val="en-GB"/>
              </w:rPr>
              <w:t>55</w:t>
            </w:r>
          </w:p>
        </w:tc>
      </w:tr>
    </w:tbl>
    <w:p w14:paraId="6A0C7AFA" w14:textId="77777777" w:rsidR="0096122A" w:rsidRPr="00FC70F7" w:rsidRDefault="0096122A" w:rsidP="0096122A">
      <w:pPr>
        <w:jc w:val="both"/>
        <w:rPr>
          <w:lang w:val="en-NZ"/>
        </w:rPr>
      </w:pPr>
    </w:p>
    <w:p w14:paraId="45262FF3" w14:textId="3408204E" w:rsidR="009B2C41" w:rsidRDefault="00E84F0C" w:rsidP="009B2C41">
      <w:pPr>
        <w:jc w:val="both"/>
        <w:rPr>
          <w:b/>
          <w:u w:val="single"/>
          <w:lang w:val="en-NZ"/>
        </w:rPr>
      </w:pPr>
      <w:r>
        <w:rPr>
          <w:bCs/>
          <w:lang w:val="en-NZ"/>
        </w:rPr>
        <w:t xml:space="preserve">During the reaction acid vapours were minimised by maintaining a proper reflux under the fume hood. After the reaction was completed the acid solution containing the </w:t>
      </w:r>
      <w:r w:rsidR="009C294C">
        <w:rPr>
          <w:bCs/>
          <w:lang w:val="en-NZ"/>
        </w:rPr>
        <w:t>product was neutralised using 5M NaOH until it tested basic on litmus paper.</w:t>
      </w:r>
      <w:r w:rsidR="00A07858">
        <w:rPr>
          <w:bCs/>
          <w:lang w:val="en-NZ"/>
        </w:rPr>
        <w:t xml:space="preserve"> The celite used to gravity filter the solution was disposed of in the celite waste container.</w:t>
      </w:r>
      <w:r w:rsidR="009C294C">
        <w:rPr>
          <w:bCs/>
          <w:lang w:val="en-NZ"/>
        </w:rPr>
        <w:t xml:space="preserve"> </w:t>
      </w:r>
      <w:r w:rsidR="009C294C" w:rsidRPr="00A07858">
        <w:rPr>
          <w:bCs/>
          <w:lang w:val="en-NZ"/>
        </w:rPr>
        <w:t xml:space="preserve">After washing of the </w:t>
      </w:r>
      <w:r w:rsidR="003C7D87" w:rsidRPr="00A07858">
        <w:rPr>
          <w:bCs/>
          <w:lang w:val="en-NZ"/>
        </w:rPr>
        <w:t>solution,</w:t>
      </w:r>
      <w:r w:rsidR="009C294C" w:rsidRPr="00A07858">
        <w:rPr>
          <w:bCs/>
          <w:lang w:val="en-NZ"/>
        </w:rPr>
        <w:t xml:space="preserve"> the aqueous layer was disposed of down the</w:t>
      </w:r>
      <w:r w:rsidR="009C294C">
        <w:rPr>
          <w:bCs/>
          <w:lang w:val="en-NZ"/>
        </w:rPr>
        <w:t xml:space="preserve"> </w:t>
      </w:r>
      <w:r w:rsidR="00A07858">
        <w:rPr>
          <w:bCs/>
          <w:lang w:val="en-NZ"/>
        </w:rPr>
        <w:t>fume hood sink with excess water</w:t>
      </w:r>
      <w:r w:rsidR="00AF0746">
        <w:rPr>
          <w:bCs/>
          <w:lang w:val="en-NZ"/>
        </w:rPr>
        <w:t xml:space="preserve">, the organic extract </w:t>
      </w:r>
      <w:r w:rsidR="003C7D87">
        <w:rPr>
          <w:bCs/>
          <w:lang w:val="en-NZ"/>
        </w:rPr>
        <w:t>was</w:t>
      </w:r>
      <w:r w:rsidR="00AF0746">
        <w:rPr>
          <w:bCs/>
          <w:lang w:val="en-NZ"/>
        </w:rPr>
        <w:t xml:space="preserve"> dried using anhydrous MgSO</w:t>
      </w:r>
      <w:r w:rsidR="00AF0746">
        <w:rPr>
          <w:bCs/>
          <w:vertAlign w:val="subscript"/>
          <w:lang w:val="en-NZ"/>
        </w:rPr>
        <w:t>4</w:t>
      </w:r>
      <w:r w:rsidR="00AF0746">
        <w:rPr>
          <w:bCs/>
          <w:lang w:val="en-NZ"/>
        </w:rPr>
        <w:t xml:space="preserve"> which was filtered of and disposed of down the fume hood sink with excess water.</w:t>
      </w:r>
      <w:r w:rsidR="009B2C41">
        <w:rPr>
          <w:bCs/>
          <w:lang w:val="en-NZ"/>
        </w:rPr>
        <w:t xml:space="preserve"> Diethyl ether was distilled of from the product using the rotary evaporator. </w:t>
      </w:r>
    </w:p>
    <w:p w14:paraId="6857B09A" w14:textId="77777777" w:rsidR="003C7D87" w:rsidRDefault="003C7D87" w:rsidP="009B2C41">
      <w:pPr>
        <w:jc w:val="both"/>
        <w:rPr>
          <w:b/>
          <w:u w:val="single"/>
          <w:lang w:val="en-NZ"/>
        </w:rPr>
      </w:pPr>
    </w:p>
    <w:p w14:paraId="28DC493D" w14:textId="77777777" w:rsidR="003C7D87" w:rsidRDefault="003C7D87" w:rsidP="009B2C41">
      <w:pPr>
        <w:jc w:val="both"/>
        <w:rPr>
          <w:b/>
          <w:u w:val="single"/>
          <w:lang w:val="en-NZ"/>
        </w:rPr>
      </w:pPr>
    </w:p>
    <w:p w14:paraId="047C24BC" w14:textId="332B8D66" w:rsidR="002E7848" w:rsidRPr="009B2C41" w:rsidRDefault="0096122A" w:rsidP="009B2C41">
      <w:pPr>
        <w:jc w:val="both"/>
        <w:rPr>
          <w:bCs/>
          <w:lang w:val="en-NZ"/>
        </w:rPr>
      </w:pPr>
      <w:r w:rsidRPr="00FC70F7">
        <w:rPr>
          <w:b/>
          <w:u w:val="single"/>
          <w:lang w:val="en-NZ"/>
        </w:rPr>
        <w:lastRenderedPageBreak/>
        <w:t>Results and calculations</w:t>
      </w:r>
    </w:p>
    <w:p w14:paraId="2999E769" w14:textId="77777777" w:rsidR="002E7848" w:rsidRPr="00FC70F7" w:rsidRDefault="002E7848" w:rsidP="002E7848">
      <w:pPr>
        <w:pStyle w:val="Heading3"/>
        <w:rPr>
          <w:lang w:val="en-NZ"/>
        </w:rPr>
      </w:pPr>
      <w:r w:rsidRPr="00FC70F7">
        <w:rPr>
          <w:lang w:val="en-NZ"/>
        </w:rPr>
        <w:t>Percentage yield calculation</w:t>
      </w:r>
    </w:p>
    <w:p w14:paraId="104F79F2" w14:textId="73A4DB8E" w:rsidR="0096122A" w:rsidRPr="00FC70F7" w:rsidRDefault="0096122A" w:rsidP="0096122A">
      <w:pPr>
        <w:spacing w:before="240"/>
        <w:rPr>
          <w:lang w:val="en-NZ"/>
        </w:rPr>
      </w:pPr>
      <w:r w:rsidRPr="00FC70F7">
        <w:rPr>
          <w:lang w:val="en-NZ"/>
        </w:rPr>
        <w:t>The limiting reagent in this reaction was (</w:t>
      </w:r>
      <w:r w:rsidR="00AB593D">
        <w:rPr>
          <w:b/>
          <w:lang w:val="en-NZ"/>
        </w:rPr>
        <w:t>4-(tert-butyl)aniline</w:t>
      </w:r>
      <w:r w:rsidRPr="00FC70F7">
        <w:rPr>
          <w:lang w:val="en-NZ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532"/>
        <w:gridCol w:w="1268"/>
        <w:gridCol w:w="950"/>
        <w:gridCol w:w="1390"/>
        <w:gridCol w:w="1800"/>
      </w:tblGrid>
      <w:tr w:rsidR="0096122A" w:rsidRPr="00FC70F7" w14:paraId="6B6AE898" w14:textId="77777777" w:rsidTr="00FB3B7E">
        <w:tc>
          <w:tcPr>
            <w:tcW w:w="2628" w:type="dxa"/>
            <w:shd w:val="clear" w:color="auto" w:fill="auto"/>
            <w:vAlign w:val="center"/>
          </w:tcPr>
          <w:p w14:paraId="5405E160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n (product) expected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00A3FD04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E2E2D77" w14:textId="3FCF0F70" w:rsidR="0096122A" w:rsidRPr="00FC70F7" w:rsidRDefault="00DC3168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0.00</w:t>
            </w:r>
            <w:r w:rsidR="00C76491">
              <w:rPr>
                <w:lang w:val="en-NZ"/>
              </w:rPr>
              <w:t>5</w:t>
            </w:r>
            <w:r w:rsidR="00AB593D">
              <w:rPr>
                <w:lang w:val="en-NZ"/>
              </w:rPr>
              <w:t>7</w:t>
            </w:r>
            <w:r w:rsidR="00C76491">
              <w:rPr>
                <w:lang w:val="en-NZ"/>
              </w:rPr>
              <w:t>8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3C92EBC0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mol</w:t>
            </w:r>
          </w:p>
        </w:tc>
      </w:tr>
      <w:tr w:rsidR="0096122A" w:rsidRPr="00FC70F7" w14:paraId="3453745F" w14:textId="77777777" w:rsidTr="00FB3B7E">
        <w:tc>
          <w:tcPr>
            <w:tcW w:w="2628" w:type="dxa"/>
            <w:shd w:val="clear" w:color="auto" w:fill="auto"/>
            <w:vAlign w:val="center"/>
          </w:tcPr>
          <w:p w14:paraId="7F6A0E72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 (product) 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22B915BD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183C3E9" w14:textId="4D9A215A" w:rsidR="0096122A" w:rsidRPr="00FC70F7" w:rsidRDefault="00DC3168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185.270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26FF89BA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96122A" w:rsidRPr="00FC70F7" w14:paraId="03C3254A" w14:textId="77777777" w:rsidTr="00FB3B7E">
        <w:tc>
          <w:tcPr>
            <w:tcW w:w="2628" w:type="dxa"/>
            <w:shd w:val="clear" w:color="auto" w:fill="auto"/>
            <w:vAlign w:val="center"/>
          </w:tcPr>
          <w:p w14:paraId="00A42526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Theoretical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3431E4F8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7929C07A" w14:textId="02EFF538" w:rsidR="0096122A" w:rsidRPr="00FC70F7" w:rsidRDefault="00AB593D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N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1CA117A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00D4F02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M</w:t>
            </w:r>
          </w:p>
        </w:tc>
        <w:tc>
          <w:tcPr>
            <w:tcW w:w="1800" w:type="dxa"/>
            <w:shd w:val="clear" w:color="auto" w:fill="auto"/>
          </w:tcPr>
          <w:p w14:paraId="299CE9D4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</w:p>
        </w:tc>
      </w:tr>
      <w:tr w:rsidR="0096122A" w:rsidRPr="00FC70F7" w14:paraId="510A921D" w14:textId="77777777" w:rsidTr="00FB3B7E">
        <w:tc>
          <w:tcPr>
            <w:tcW w:w="2628" w:type="dxa"/>
            <w:shd w:val="clear" w:color="auto" w:fill="auto"/>
            <w:vAlign w:val="center"/>
          </w:tcPr>
          <w:p w14:paraId="707A2EFE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1A69BF6F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5E1D439" w14:textId="4A9F2136" w:rsidR="0096122A" w:rsidRPr="00FC70F7" w:rsidRDefault="00C76491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0.005</w:t>
            </w:r>
            <w:r w:rsidR="00AB593D">
              <w:rPr>
                <w:lang w:val="en-NZ"/>
              </w:rPr>
              <w:t>7</w:t>
            </w:r>
            <w:r>
              <w:rPr>
                <w:lang w:val="en-NZ"/>
              </w:rPr>
              <w:t>8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39772D0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 xml:space="preserve">mol x </w:t>
            </w:r>
          </w:p>
        </w:tc>
        <w:tc>
          <w:tcPr>
            <w:tcW w:w="1390" w:type="dxa"/>
            <w:shd w:val="clear" w:color="auto" w:fill="auto"/>
          </w:tcPr>
          <w:p w14:paraId="041C62D1" w14:textId="1CBE3210" w:rsidR="0096122A" w:rsidRPr="00FC70F7" w:rsidRDefault="00C76491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185.270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07A9D1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 mol</w:t>
            </w:r>
            <w:r w:rsidRPr="00FC70F7">
              <w:rPr>
                <w:vertAlign w:val="superscript"/>
                <w:lang w:val="en-NZ"/>
              </w:rPr>
              <w:t>-1</w:t>
            </w:r>
          </w:p>
        </w:tc>
      </w:tr>
      <w:tr w:rsidR="0096122A" w:rsidRPr="00FC70F7" w14:paraId="66DC9EC6" w14:textId="77777777" w:rsidTr="00FB3B7E">
        <w:tc>
          <w:tcPr>
            <w:tcW w:w="2628" w:type="dxa"/>
            <w:shd w:val="clear" w:color="auto" w:fill="auto"/>
            <w:vAlign w:val="center"/>
          </w:tcPr>
          <w:p w14:paraId="1D943E8D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5B305CCC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964D313" w14:textId="273FEF58" w:rsidR="0096122A" w:rsidRPr="00FC70F7" w:rsidRDefault="00C76491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1.07</w:t>
            </w:r>
            <w:r w:rsidR="00AB593D">
              <w:rPr>
                <w:lang w:val="en-NZ"/>
              </w:rPr>
              <w:t>1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5C027F5B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96122A" w:rsidRPr="00FC70F7" w14:paraId="735EF956" w14:textId="77777777" w:rsidTr="00FB3B7E">
        <w:tc>
          <w:tcPr>
            <w:tcW w:w="2628" w:type="dxa"/>
            <w:shd w:val="clear" w:color="auto" w:fill="auto"/>
            <w:vAlign w:val="center"/>
          </w:tcPr>
          <w:p w14:paraId="38C3EE2B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Actual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4F94B219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681580E" w14:textId="68CE2522" w:rsidR="0096122A" w:rsidRPr="00FC70F7" w:rsidRDefault="00C76491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0.192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7B1BC4EF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g</w:t>
            </w:r>
          </w:p>
        </w:tc>
      </w:tr>
      <w:tr w:rsidR="0096122A" w:rsidRPr="00FC70F7" w14:paraId="3FDCB6F1" w14:textId="77777777" w:rsidTr="00FB3B7E">
        <w:tc>
          <w:tcPr>
            <w:tcW w:w="2628" w:type="dxa"/>
            <w:shd w:val="clear" w:color="auto" w:fill="auto"/>
            <w:vAlign w:val="center"/>
          </w:tcPr>
          <w:p w14:paraId="1D904378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sym w:font="Symbol" w:char="F05C"/>
            </w:r>
            <w:r w:rsidRPr="00FC70F7">
              <w:rPr>
                <w:lang w:val="en-NZ"/>
              </w:rPr>
              <w:t xml:space="preserve"> Percentage yield</w:t>
            </w:r>
          </w:p>
        </w:tc>
        <w:tc>
          <w:tcPr>
            <w:tcW w:w="532" w:type="dxa"/>
            <w:shd w:val="clear" w:color="auto" w:fill="auto"/>
            <w:vAlign w:val="center"/>
          </w:tcPr>
          <w:p w14:paraId="4279035F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 w14:paraId="378336DE" w14:textId="2166FEE1" w:rsidR="0096122A" w:rsidRPr="00C76491" w:rsidRDefault="00000000" w:rsidP="00FB3B7E">
            <w:pPr>
              <w:spacing w:before="120"/>
              <w:rPr>
                <w:bCs/>
                <w:lang w:val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NZ"/>
                      </w:rPr>
                      <m:t>0.192</m:t>
                    </m:r>
                  </m:num>
                  <m:den>
                    <m:r>
                      <w:rPr>
                        <w:rFonts w:ascii="Cambria Math" w:hAnsi="Cambria Math"/>
                        <w:lang w:val="en-NZ"/>
                      </w:rPr>
                      <m:t>1.071</m:t>
                    </m:r>
                  </m:den>
                </m:f>
                <m:r>
                  <w:rPr>
                    <w:rFonts w:ascii="Cambria Math" w:hAnsi="Cambria Math"/>
                    <w:lang w:val="en-NZ"/>
                  </w:rPr>
                  <m:t>×100</m:t>
                </m:r>
              </m:oMath>
            </m:oMathPara>
          </w:p>
        </w:tc>
      </w:tr>
      <w:tr w:rsidR="0096122A" w:rsidRPr="00FC70F7" w14:paraId="0388E9A8" w14:textId="77777777" w:rsidTr="00FB3B7E">
        <w:tc>
          <w:tcPr>
            <w:tcW w:w="2628" w:type="dxa"/>
            <w:shd w:val="clear" w:color="auto" w:fill="auto"/>
            <w:vAlign w:val="center"/>
          </w:tcPr>
          <w:p w14:paraId="116322A8" w14:textId="77777777" w:rsidR="0096122A" w:rsidRPr="00FC70F7" w:rsidRDefault="0096122A" w:rsidP="00FB3B7E">
            <w:pPr>
              <w:spacing w:before="120"/>
              <w:rPr>
                <w:lang w:val="en-NZ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14:paraId="2335381D" w14:textId="77777777" w:rsidR="0096122A" w:rsidRPr="00FC70F7" w:rsidRDefault="0096122A" w:rsidP="00FB3B7E">
            <w:pPr>
              <w:spacing w:before="120"/>
              <w:jc w:val="center"/>
              <w:rPr>
                <w:lang w:val="en-NZ"/>
              </w:rPr>
            </w:pPr>
            <w:r w:rsidRPr="00FC70F7">
              <w:rPr>
                <w:lang w:val="en-NZ"/>
              </w:rPr>
              <w:t>=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BB66309" w14:textId="0672200F" w:rsidR="0096122A" w:rsidRPr="00FC70F7" w:rsidRDefault="00C76491" w:rsidP="00FB3B7E">
            <w:pPr>
              <w:spacing w:before="120"/>
              <w:jc w:val="right"/>
              <w:rPr>
                <w:lang w:val="en-NZ"/>
              </w:rPr>
            </w:pPr>
            <w:r>
              <w:rPr>
                <w:lang w:val="en-NZ"/>
              </w:rPr>
              <w:t>17.</w:t>
            </w:r>
            <w:r w:rsidR="00AB593D">
              <w:rPr>
                <w:lang w:val="en-NZ"/>
              </w:rPr>
              <w:t>92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1B20E1AE" w14:textId="77777777" w:rsidR="0096122A" w:rsidRDefault="0096122A" w:rsidP="00FB3B7E">
            <w:pPr>
              <w:spacing w:before="120"/>
              <w:rPr>
                <w:lang w:val="en-NZ"/>
              </w:rPr>
            </w:pPr>
            <w:r w:rsidRPr="00FC70F7">
              <w:rPr>
                <w:lang w:val="en-NZ"/>
              </w:rPr>
              <w:t>%</w:t>
            </w:r>
          </w:p>
          <w:p w14:paraId="2F023A72" w14:textId="7A81CB54" w:rsidR="003D5EBC" w:rsidRPr="00FC70F7" w:rsidRDefault="003D5EBC" w:rsidP="00FB3B7E">
            <w:pPr>
              <w:spacing w:before="120"/>
              <w:rPr>
                <w:lang w:val="en-NZ"/>
              </w:rPr>
            </w:pPr>
          </w:p>
        </w:tc>
      </w:tr>
    </w:tbl>
    <w:p w14:paraId="5B667A87" w14:textId="77777777" w:rsidR="002A1A2B" w:rsidRDefault="002A1A2B" w:rsidP="0096122A">
      <w:pPr>
        <w:tabs>
          <w:tab w:val="right" w:pos="4140"/>
        </w:tabs>
        <w:jc w:val="both"/>
        <w:rPr>
          <w:b/>
          <w:lang w:val="en-NZ"/>
        </w:rPr>
      </w:pPr>
    </w:p>
    <w:p w14:paraId="33ED2EB8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2733719B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62022B78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2C13CFFB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2290A657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73561DEF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7D548D0D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2DB298AC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130177F8" w14:textId="77777777" w:rsidR="003D5EBC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2E45DCBF" w14:textId="77777777" w:rsidR="003D5EBC" w:rsidRPr="00FC70F7" w:rsidRDefault="003D5EBC" w:rsidP="0096122A">
      <w:pPr>
        <w:tabs>
          <w:tab w:val="right" w:pos="4140"/>
        </w:tabs>
        <w:jc w:val="both"/>
        <w:rPr>
          <w:b/>
          <w:lang w:val="en-NZ"/>
        </w:rPr>
      </w:pPr>
    </w:p>
    <w:p w14:paraId="4B76013D" w14:textId="7BAA7705" w:rsidR="0096122A" w:rsidRPr="00FC70F7" w:rsidRDefault="003D5EBC" w:rsidP="00224650">
      <w:pPr>
        <w:pStyle w:val="Heading3"/>
        <w:numPr>
          <w:ilvl w:val="0"/>
          <w:numId w:val="0"/>
        </w:numPr>
        <w:rPr>
          <w:b/>
          <w:i w:val="0"/>
          <w:lang w:val="en-NZ"/>
        </w:rPr>
      </w:pPr>
      <w:r w:rsidRPr="003D5EBC">
        <w:rPr>
          <w:bCs w:val="0"/>
          <w:i w:val="0"/>
          <w:noProof/>
          <w:u w:val="none"/>
          <w:lang w:val="en-NZ"/>
        </w:rPr>
        <w:lastRenderedPageBreak/>
        <w:drawing>
          <wp:inline distT="0" distB="0" distL="0" distR="0" wp14:anchorId="55A5061B" wp14:editId="71FCCC38">
            <wp:extent cx="3276600" cy="2180125"/>
            <wp:effectExtent l="0" t="0" r="0" b="0"/>
            <wp:docPr id="276599663" name="Picture 1" descr="A chemical structur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9663" name="Picture 1" descr="A chemical structure with letter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533" cy="21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8F1" w14:textId="77777777" w:rsidR="0096122A" w:rsidRPr="00FC70F7" w:rsidRDefault="0096122A" w:rsidP="0096122A">
      <w:pPr>
        <w:pStyle w:val="Heading3"/>
        <w:rPr>
          <w:kern w:val="32"/>
          <w:lang w:val="en-NZ"/>
        </w:rPr>
      </w:pPr>
      <w:r w:rsidRPr="00FC70F7">
        <w:rPr>
          <w:kern w:val="32"/>
          <w:vertAlign w:val="superscript"/>
          <w:lang w:val="en-NZ"/>
        </w:rPr>
        <w:t>1</w:t>
      </w:r>
      <w:r w:rsidRPr="00FC70F7">
        <w:rPr>
          <w:kern w:val="32"/>
          <w:lang w:val="en-NZ"/>
        </w:rPr>
        <w:t>H NMR (</w:t>
      </w:r>
      <w:r w:rsidR="002A1A2B" w:rsidRPr="00FC70F7">
        <w:rPr>
          <w:kern w:val="32"/>
          <w:lang w:val="en-NZ"/>
        </w:rPr>
        <w:t>5</w:t>
      </w:r>
      <w:r w:rsidRPr="00FC70F7">
        <w:rPr>
          <w:kern w:val="32"/>
          <w:lang w:val="en-NZ"/>
        </w:rPr>
        <w:t>00 MHz, CDCl</w:t>
      </w:r>
      <w:r w:rsidRPr="00FC70F7">
        <w:rPr>
          <w:kern w:val="32"/>
          <w:vertAlign w:val="subscript"/>
          <w:lang w:val="en-NZ"/>
        </w:rPr>
        <w:t>3</w:t>
      </w:r>
      <w:r w:rsidRPr="00FC70F7">
        <w:rPr>
          <w:kern w:val="32"/>
          <w:lang w:val="en-NZ"/>
        </w:rPr>
        <w:t>)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4"/>
        <w:gridCol w:w="1565"/>
        <w:gridCol w:w="1564"/>
        <w:gridCol w:w="1681"/>
        <w:gridCol w:w="1449"/>
        <w:gridCol w:w="1565"/>
      </w:tblGrid>
      <w:tr w:rsidR="00811FF4" w:rsidRPr="00FC70F7" w14:paraId="09F66739" w14:textId="77777777" w:rsidTr="007A7148">
        <w:trPr>
          <w:trHeight w:val="560"/>
        </w:trPr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14:paraId="5538889E" w14:textId="4A5347F4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 w:rsidRPr="00FC70F7">
              <w:rPr>
                <w:rFonts w:ascii="Symbol" w:hAnsi="Symbol"/>
                <w:b/>
                <w:kern w:val="32"/>
                <w:lang w:val="en-NZ"/>
              </w:rPr>
              <w:t></w:t>
            </w:r>
            <w:r w:rsidRPr="00FC70F7">
              <w:rPr>
                <w:b/>
                <w:kern w:val="32"/>
                <w:lang w:val="en-NZ"/>
              </w:rPr>
              <w:t>/pm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74DDEF89" w14:textId="77777777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 w:rsidRPr="00FC70F7">
              <w:rPr>
                <w:b/>
                <w:kern w:val="32"/>
                <w:lang w:val="en-NZ"/>
              </w:rPr>
              <w:t>Integration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14:paraId="013B4852" w14:textId="77777777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 w:rsidRPr="00FC70F7">
              <w:rPr>
                <w:b/>
                <w:kern w:val="32"/>
                <w:lang w:val="en-NZ"/>
              </w:rPr>
              <w:t>multiplicity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14:paraId="5A52147B" w14:textId="65AD0851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>
              <w:rPr>
                <w:b/>
                <w:kern w:val="32"/>
                <w:lang w:val="en-NZ"/>
              </w:rPr>
              <w:t>J / Hz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4E1ED83D" w14:textId="4E50480B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>
              <w:rPr>
                <w:b/>
                <w:kern w:val="32"/>
                <w:lang w:val="en-NZ"/>
              </w:rPr>
              <w:t>COSY shows coupling to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19E89059" w14:textId="434BCDB1" w:rsidR="00811FF4" w:rsidRPr="00FC70F7" w:rsidRDefault="00811FF4" w:rsidP="00811FF4">
            <w:pPr>
              <w:spacing w:before="120"/>
              <w:jc w:val="center"/>
              <w:rPr>
                <w:b/>
                <w:kern w:val="32"/>
                <w:lang w:val="en-NZ"/>
              </w:rPr>
            </w:pPr>
            <w:r w:rsidRPr="00FC70F7">
              <w:rPr>
                <w:b/>
                <w:kern w:val="32"/>
                <w:lang w:val="en-NZ"/>
              </w:rPr>
              <w:t>Assignment</w:t>
            </w:r>
          </w:p>
        </w:tc>
      </w:tr>
      <w:tr w:rsidR="00811FF4" w:rsidRPr="00FC70F7" w14:paraId="79E7591B" w14:textId="77777777" w:rsidTr="00811FF4">
        <w:trPr>
          <w:trHeight w:val="576"/>
        </w:trPr>
        <w:tc>
          <w:tcPr>
            <w:tcW w:w="1564" w:type="dxa"/>
            <w:shd w:val="clear" w:color="auto" w:fill="auto"/>
            <w:vAlign w:val="center"/>
          </w:tcPr>
          <w:p w14:paraId="4CE2B4B9" w14:textId="628EDB47" w:rsidR="00811FF4" w:rsidRPr="00FC70F7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8.85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03BEDD5" w14:textId="454407B9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61FC8F1" w14:textId="0E8E8A5F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dd</w:t>
            </w:r>
          </w:p>
        </w:tc>
        <w:tc>
          <w:tcPr>
            <w:tcW w:w="1681" w:type="dxa"/>
            <w:shd w:val="clear" w:color="auto" w:fill="auto"/>
          </w:tcPr>
          <w:p w14:paraId="0C6C80BF" w14:textId="444F9694" w:rsidR="00811FF4" w:rsidRPr="003D5EBC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1,2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7.7, J</w:t>
            </w:r>
            <w:r>
              <w:rPr>
                <w:kern w:val="32"/>
                <w:vertAlign w:val="subscript"/>
                <w:lang w:val="en-NZ"/>
              </w:rPr>
              <w:t>1,3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1.7</w:t>
            </w:r>
          </w:p>
        </w:tc>
        <w:tc>
          <w:tcPr>
            <w:tcW w:w="1449" w:type="dxa"/>
          </w:tcPr>
          <w:p w14:paraId="7CEBA773" w14:textId="177F3C42" w:rsidR="00811FF4" w:rsidRPr="00811FF4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2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993E5E5" w14:textId="105A8D4E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1</w:t>
            </w:r>
          </w:p>
        </w:tc>
      </w:tr>
      <w:tr w:rsidR="00811FF4" w:rsidRPr="00FC70F7" w14:paraId="04D11660" w14:textId="77777777" w:rsidTr="00811FF4">
        <w:trPr>
          <w:trHeight w:val="560"/>
        </w:trPr>
        <w:tc>
          <w:tcPr>
            <w:tcW w:w="1564" w:type="dxa"/>
            <w:shd w:val="clear" w:color="auto" w:fill="auto"/>
            <w:vAlign w:val="center"/>
          </w:tcPr>
          <w:p w14:paraId="3B52559F" w14:textId="7570B68F" w:rsidR="00811FF4" w:rsidRPr="00FC70F7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8.12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60AB957E" w14:textId="54AB1317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3192EFB8" w14:textId="0D5F0D92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</w:t>
            </w:r>
          </w:p>
        </w:tc>
        <w:tc>
          <w:tcPr>
            <w:tcW w:w="1681" w:type="dxa"/>
            <w:shd w:val="clear" w:color="auto" w:fill="auto"/>
          </w:tcPr>
          <w:p w14:paraId="6D0343BA" w14:textId="60237DEA" w:rsidR="00811FF4" w:rsidRPr="00796988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3,2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8.2</w:t>
            </w:r>
          </w:p>
        </w:tc>
        <w:tc>
          <w:tcPr>
            <w:tcW w:w="1449" w:type="dxa"/>
          </w:tcPr>
          <w:p w14:paraId="17D6F8AA" w14:textId="6D684B86" w:rsidR="00811FF4" w:rsidRPr="00811FF4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2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14A2744" w14:textId="7783D6DE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3</w:t>
            </w:r>
          </w:p>
        </w:tc>
      </w:tr>
      <w:tr w:rsidR="00811FF4" w:rsidRPr="00FC70F7" w14:paraId="3340F2B7" w14:textId="77777777" w:rsidTr="00811FF4">
        <w:trPr>
          <w:trHeight w:val="560"/>
        </w:trPr>
        <w:tc>
          <w:tcPr>
            <w:tcW w:w="1564" w:type="dxa"/>
            <w:shd w:val="clear" w:color="auto" w:fill="auto"/>
            <w:vAlign w:val="center"/>
          </w:tcPr>
          <w:p w14:paraId="64541CF7" w14:textId="00C2939E" w:rsidR="00811FF4" w:rsidRPr="00FC70F7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8.05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9E82380" w14:textId="4F253C65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9A68AF7" w14:textId="12985037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</w:t>
            </w:r>
          </w:p>
        </w:tc>
        <w:tc>
          <w:tcPr>
            <w:tcW w:w="1681" w:type="dxa"/>
            <w:shd w:val="clear" w:color="auto" w:fill="auto"/>
          </w:tcPr>
          <w:p w14:paraId="752DF8AC" w14:textId="61AE635D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7,6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8.9</w:t>
            </w:r>
          </w:p>
        </w:tc>
        <w:tc>
          <w:tcPr>
            <w:tcW w:w="1449" w:type="dxa"/>
          </w:tcPr>
          <w:p w14:paraId="18015AC8" w14:textId="39A39FE7" w:rsidR="00811FF4" w:rsidRPr="00811FF4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6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FA9E19B" w14:textId="2D0E4888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7</w:t>
            </w:r>
          </w:p>
        </w:tc>
      </w:tr>
      <w:tr w:rsidR="00811FF4" w:rsidRPr="00FC70F7" w14:paraId="748ADD22" w14:textId="77777777" w:rsidTr="00811FF4">
        <w:trPr>
          <w:trHeight w:val="560"/>
        </w:trPr>
        <w:tc>
          <w:tcPr>
            <w:tcW w:w="1564" w:type="dxa"/>
            <w:shd w:val="clear" w:color="auto" w:fill="auto"/>
            <w:vAlign w:val="center"/>
          </w:tcPr>
          <w:p w14:paraId="5DAC369D" w14:textId="22B9D2D2" w:rsidR="00811FF4" w:rsidRPr="00FC70F7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7.81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2B80099" w14:textId="04B9D2DD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57FBC612" w14:textId="4C06C194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dd</w:t>
            </w:r>
          </w:p>
        </w:tc>
        <w:tc>
          <w:tcPr>
            <w:tcW w:w="1681" w:type="dxa"/>
            <w:shd w:val="clear" w:color="auto" w:fill="auto"/>
          </w:tcPr>
          <w:p w14:paraId="70EA8E3B" w14:textId="7442A225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6,7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8.9, J</w:t>
            </w:r>
            <w:r>
              <w:rPr>
                <w:kern w:val="32"/>
                <w:vertAlign w:val="subscript"/>
                <w:lang w:val="en-NZ"/>
              </w:rPr>
              <w:t>6,4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2.2</w:t>
            </w:r>
          </w:p>
        </w:tc>
        <w:tc>
          <w:tcPr>
            <w:tcW w:w="1449" w:type="dxa"/>
          </w:tcPr>
          <w:p w14:paraId="4F1D3EB1" w14:textId="661445C1" w:rsidR="00811FF4" w:rsidRPr="00811FF4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 xml:space="preserve">4, </w:t>
            </w: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7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15F6AA3" w14:textId="0704682D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6</w:t>
            </w:r>
          </w:p>
        </w:tc>
      </w:tr>
      <w:tr w:rsidR="00811FF4" w:rsidRPr="00FC70F7" w14:paraId="37D37EBC" w14:textId="77777777" w:rsidTr="00811FF4">
        <w:trPr>
          <w:trHeight w:val="576"/>
        </w:trPr>
        <w:tc>
          <w:tcPr>
            <w:tcW w:w="1564" w:type="dxa"/>
            <w:shd w:val="clear" w:color="auto" w:fill="auto"/>
            <w:vAlign w:val="center"/>
          </w:tcPr>
          <w:p w14:paraId="545C8D49" w14:textId="37A7069C" w:rsidR="00811FF4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7.72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DA50767" w14:textId="595AD551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3F19EB1C" w14:textId="3A3D268E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</w:t>
            </w:r>
          </w:p>
        </w:tc>
        <w:tc>
          <w:tcPr>
            <w:tcW w:w="1681" w:type="dxa"/>
            <w:shd w:val="clear" w:color="auto" w:fill="auto"/>
          </w:tcPr>
          <w:p w14:paraId="605D7234" w14:textId="582AF6F6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4,6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2.2</w:t>
            </w:r>
          </w:p>
        </w:tc>
        <w:tc>
          <w:tcPr>
            <w:tcW w:w="1449" w:type="dxa"/>
          </w:tcPr>
          <w:p w14:paraId="4AC59D6F" w14:textId="47DB3942" w:rsidR="00811FF4" w:rsidRPr="00811FF4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6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BF31758" w14:textId="2FFAFCEB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4</w:t>
            </w:r>
          </w:p>
        </w:tc>
      </w:tr>
      <w:tr w:rsidR="00811FF4" w:rsidRPr="00FC70F7" w14:paraId="47CE930D" w14:textId="77777777" w:rsidTr="00811FF4">
        <w:trPr>
          <w:trHeight w:val="560"/>
        </w:trPr>
        <w:tc>
          <w:tcPr>
            <w:tcW w:w="1564" w:type="dxa"/>
            <w:shd w:val="clear" w:color="auto" w:fill="auto"/>
            <w:vAlign w:val="center"/>
          </w:tcPr>
          <w:p w14:paraId="575D08CF" w14:textId="18CE91F1" w:rsidR="00811FF4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7.36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2727CAF0" w14:textId="0ED06717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3CA11595" w14:textId="3DA87ABB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dd</w:t>
            </w:r>
          </w:p>
        </w:tc>
        <w:tc>
          <w:tcPr>
            <w:tcW w:w="1681" w:type="dxa"/>
            <w:shd w:val="clear" w:color="auto" w:fill="auto"/>
          </w:tcPr>
          <w:p w14:paraId="0AC5B80B" w14:textId="6BE26423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J</w:t>
            </w:r>
            <w:r>
              <w:rPr>
                <w:kern w:val="32"/>
                <w:vertAlign w:val="subscript"/>
                <w:lang w:val="en-NZ"/>
              </w:rPr>
              <w:t>2,3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8.2, J</w:t>
            </w:r>
            <w:r>
              <w:rPr>
                <w:kern w:val="32"/>
                <w:vertAlign w:val="subscript"/>
                <w:lang w:val="en-NZ"/>
              </w:rPr>
              <w:t>2,1</w:t>
            </w:r>
            <w:r>
              <w:rPr>
                <w:kern w:val="32"/>
                <w:vertAlign w:val="superscript"/>
                <w:lang w:val="en-NZ"/>
              </w:rPr>
              <w:t xml:space="preserve"> </w:t>
            </w:r>
            <w:r>
              <w:rPr>
                <w:kern w:val="32"/>
                <w:lang w:val="en-NZ"/>
              </w:rPr>
              <w:t>4.2</w:t>
            </w:r>
          </w:p>
        </w:tc>
        <w:tc>
          <w:tcPr>
            <w:tcW w:w="1449" w:type="dxa"/>
          </w:tcPr>
          <w:p w14:paraId="142B17F2" w14:textId="5CE91A32" w:rsidR="00811FF4" w:rsidRPr="00811FF4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1</w:t>
            </w:r>
            <w:r>
              <w:rPr>
                <w:kern w:val="32"/>
                <w:lang w:val="en-NZ"/>
              </w:rPr>
              <w:t>, H</w:t>
            </w:r>
            <w:r>
              <w:rPr>
                <w:kern w:val="32"/>
                <w:vertAlign w:val="subscript"/>
                <w:lang w:val="en-NZ"/>
              </w:rPr>
              <w:t>3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5E323956" w14:textId="1A3591E7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2</w:t>
            </w:r>
          </w:p>
        </w:tc>
      </w:tr>
      <w:tr w:rsidR="00811FF4" w:rsidRPr="00FC70F7" w14:paraId="2C3A2316" w14:textId="77777777" w:rsidTr="00811FF4">
        <w:trPr>
          <w:trHeight w:val="560"/>
        </w:trPr>
        <w:tc>
          <w:tcPr>
            <w:tcW w:w="1564" w:type="dxa"/>
            <w:shd w:val="clear" w:color="auto" w:fill="auto"/>
            <w:vAlign w:val="center"/>
          </w:tcPr>
          <w:p w14:paraId="56A0EB98" w14:textId="0B1F5C43" w:rsidR="00811FF4" w:rsidRDefault="00811FF4" w:rsidP="00FB3B7E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1.43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67AFE7B" w14:textId="6C1CA6FA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12H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781B3D6" w14:textId="03792FE7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s</w:t>
            </w:r>
          </w:p>
        </w:tc>
        <w:tc>
          <w:tcPr>
            <w:tcW w:w="1681" w:type="dxa"/>
            <w:shd w:val="clear" w:color="auto" w:fill="auto"/>
          </w:tcPr>
          <w:p w14:paraId="75DCFC05" w14:textId="43206DD7" w:rsidR="00811FF4" w:rsidRPr="00FC70F7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~</w:t>
            </w:r>
          </w:p>
        </w:tc>
        <w:tc>
          <w:tcPr>
            <w:tcW w:w="1449" w:type="dxa"/>
          </w:tcPr>
          <w:p w14:paraId="138CE7E5" w14:textId="759EEAD2" w:rsidR="00811FF4" w:rsidRDefault="00811FF4" w:rsidP="00FB3B7E">
            <w:pPr>
              <w:spacing w:before="120"/>
              <w:jc w:val="center"/>
              <w:rPr>
                <w:kern w:val="32"/>
                <w:lang w:val="en-NZ"/>
              </w:rPr>
            </w:pPr>
            <w:r>
              <w:rPr>
                <w:kern w:val="32"/>
                <w:lang w:val="en-NZ"/>
              </w:rPr>
              <w:t>~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9BD3F82" w14:textId="54426E43" w:rsidR="00811FF4" w:rsidRPr="001D45E7" w:rsidRDefault="00811FF4" w:rsidP="00FB3B7E">
            <w:pPr>
              <w:spacing w:before="120"/>
              <w:jc w:val="center"/>
              <w:rPr>
                <w:kern w:val="32"/>
                <w:vertAlign w:val="subscript"/>
                <w:lang w:val="en-NZ"/>
              </w:rPr>
            </w:pPr>
            <w:r>
              <w:rPr>
                <w:kern w:val="32"/>
                <w:lang w:val="en-NZ"/>
              </w:rPr>
              <w:t>H</w:t>
            </w:r>
            <w:r>
              <w:rPr>
                <w:kern w:val="32"/>
                <w:vertAlign w:val="subscript"/>
                <w:lang w:val="en-NZ"/>
              </w:rPr>
              <w:t>5</w:t>
            </w:r>
          </w:p>
        </w:tc>
      </w:tr>
    </w:tbl>
    <w:p w14:paraId="5142C434" w14:textId="77777777" w:rsidR="0096122A" w:rsidRPr="00FC70F7" w:rsidRDefault="0096122A" w:rsidP="0096122A">
      <w:pPr>
        <w:rPr>
          <w:b/>
          <w:u w:val="single"/>
          <w:lang w:val="en-NZ"/>
        </w:rPr>
      </w:pPr>
    </w:p>
    <w:p w14:paraId="04EA0BD4" w14:textId="77777777" w:rsidR="00811FF4" w:rsidRDefault="00811FF4" w:rsidP="00811FF4">
      <w:pPr>
        <w:tabs>
          <w:tab w:val="right" w:pos="9214"/>
        </w:tabs>
        <w:rPr>
          <w:b/>
          <w:lang w:val="en-AU"/>
        </w:rPr>
      </w:pPr>
      <w:r>
        <w:rPr>
          <w:b/>
        </w:rPr>
        <w:t>ESI-MS</w:t>
      </w:r>
    </w:p>
    <w:tbl>
      <w:tblPr>
        <w:tblW w:w="6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9"/>
        <w:gridCol w:w="4816"/>
      </w:tblGrid>
      <w:tr w:rsidR="00811FF4" w14:paraId="53770C6B" w14:textId="77777777" w:rsidTr="00811FF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4674F" w14:textId="77777777" w:rsidR="00811FF4" w:rsidRDefault="00811FF4">
            <w:pPr>
              <w:spacing w:before="120"/>
              <w:jc w:val="center"/>
              <w:rPr>
                <w:b/>
                <w:i/>
                <w:kern w:val="32"/>
                <w:lang w:val="en-NZ"/>
              </w:rPr>
            </w:pPr>
            <w:r>
              <w:rPr>
                <w:b/>
                <w:i/>
                <w:kern w:val="32"/>
                <w:lang w:val="en-NZ"/>
              </w:rPr>
              <w:t>m/z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C0A61" w14:textId="77777777" w:rsidR="00811FF4" w:rsidRDefault="00811FF4">
            <w:pPr>
              <w:spacing w:before="120"/>
              <w:jc w:val="center"/>
              <w:rPr>
                <w:rFonts w:cstheme="minorBidi"/>
                <w:b/>
                <w:kern w:val="32"/>
                <w:lang w:val="en-NZ"/>
              </w:rPr>
            </w:pPr>
            <w:r>
              <w:rPr>
                <w:b/>
                <w:kern w:val="32"/>
                <w:lang w:val="en-NZ"/>
              </w:rPr>
              <w:t>[Assignment]</w:t>
            </w:r>
            <w:r>
              <w:rPr>
                <w:b/>
                <w:kern w:val="32"/>
                <w:vertAlign w:val="superscript"/>
                <w:lang w:val="en-NZ"/>
              </w:rPr>
              <w:t>charge</w:t>
            </w:r>
          </w:p>
        </w:tc>
      </w:tr>
      <w:tr w:rsidR="00811FF4" w14:paraId="447112C1" w14:textId="77777777" w:rsidTr="00811FF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5557" w14:textId="43A58EF0" w:rsidR="00811FF4" w:rsidRDefault="00787342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171.09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B6BC" w14:textId="7731B487" w:rsidR="00811FF4" w:rsidRPr="00787342" w:rsidRDefault="003B4375">
            <w:pPr>
              <w:spacing w:before="120"/>
              <w:jc w:val="center"/>
              <w:rPr>
                <w:b/>
                <w:kern w:val="32"/>
                <w:vertAlign w:val="superscript"/>
                <w:lang w:val="en-NZ"/>
              </w:rPr>
            </w:pPr>
            <w:r>
              <w:rPr>
                <w:b/>
                <w:kern w:val="32"/>
                <w:lang w:val="en-NZ"/>
              </w:rPr>
              <w:t>[C</w:t>
            </w:r>
            <w:r>
              <w:rPr>
                <w:b/>
                <w:kern w:val="32"/>
                <w:vertAlign w:val="subscript"/>
                <w:lang w:val="en-NZ"/>
              </w:rPr>
              <w:t>13</w:t>
            </w:r>
            <w:r>
              <w:rPr>
                <w:b/>
                <w:kern w:val="32"/>
                <w:lang w:val="en-NZ"/>
              </w:rPr>
              <w:t>H</w:t>
            </w:r>
            <w:r>
              <w:rPr>
                <w:b/>
                <w:kern w:val="32"/>
                <w:vertAlign w:val="subscript"/>
                <w:lang w:val="en-NZ"/>
              </w:rPr>
              <w:t>16</w:t>
            </w:r>
            <w:r>
              <w:rPr>
                <w:b/>
                <w:kern w:val="32"/>
                <w:lang w:val="en-NZ"/>
              </w:rPr>
              <w:t>N – CH</w:t>
            </w:r>
            <w:proofErr w:type="gramStart"/>
            <w:r>
              <w:rPr>
                <w:b/>
                <w:kern w:val="32"/>
                <w:vertAlign w:val="subscript"/>
                <w:lang w:val="en-NZ"/>
              </w:rPr>
              <w:t>3</w:t>
            </w:r>
            <w:r>
              <w:rPr>
                <w:b/>
                <w:kern w:val="32"/>
                <w:lang w:val="en-NZ"/>
              </w:rPr>
              <w:t>]</w:t>
            </w:r>
            <w:r>
              <w:rPr>
                <w:b/>
                <w:kern w:val="32"/>
                <w:vertAlign w:val="superscript"/>
                <w:lang w:val="en-NZ"/>
              </w:rPr>
              <w:t>+</w:t>
            </w:r>
            <w:proofErr w:type="gramEnd"/>
          </w:p>
        </w:tc>
      </w:tr>
      <w:tr w:rsidR="00787342" w14:paraId="2D651782" w14:textId="77777777" w:rsidTr="00811FF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785E" w14:textId="5EC816F7" w:rsidR="00787342" w:rsidRDefault="003B4375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186.12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A342" w14:textId="5197980F" w:rsidR="00787342" w:rsidRPr="00E4483C" w:rsidRDefault="00787342">
            <w:pPr>
              <w:spacing w:before="120"/>
              <w:jc w:val="center"/>
              <w:rPr>
                <w:b/>
                <w:kern w:val="32"/>
                <w:vertAlign w:val="superscript"/>
                <w:lang w:val="en-NZ"/>
              </w:rPr>
            </w:pPr>
            <w:r>
              <w:rPr>
                <w:b/>
                <w:kern w:val="32"/>
                <w:lang w:val="en-NZ"/>
              </w:rPr>
              <w:t>[C</w:t>
            </w:r>
            <w:r>
              <w:rPr>
                <w:b/>
                <w:kern w:val="32"/>
                <w:vertAlign w:val="subscript"/>
                <w:lang w:val="en-NZ"/>
              </w:rPr>
              <w:t>13</w:t>
            </w:r>
            <w:r>
              <w:rPr>
                <w:b/>
                <w:kern w:val="32"/>
                <w:lang w:val="en-NZ"/>
              </w:rPr>
              <w:t>H</w:t>
            </w:r>
            <w:r>
              <w:rPr>
                <w:b/>
                <w:kern w:val="32"/>
                <w:vertAlign w:val="subscript"/>
                <w:lang w:val="en-NZ"/>
              </w:rPr>
              <w:t>16</w:t>
            </w:r>
            <w:r>
              <w:rPr>
                <w:b/>
                <w:kern w:val="32"/>
                <w:lang w:val="en-NZ"/>
              </w:rPr>
              <w:t>N]</w:t>
            </w:r>
            <w:r w:rsidR="00E4483C">
              <w:rPr>
                <w:b/>
                <w:kern w:val="32"/>
                <w:vertAlign w:val="superscript"/>
                <w:lang w:val="en-NZ"/>
              </w:rPr>
              <w:t>-</w:t>
            </w:r>
          </w:p>
        </w:tc>
      </w:tr>
      <w:tr w:rsidR="00787342" w14:paraId="6F9D182C" w14:textId="77777777" w:rsidTr="00811FF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5991" w14:textId="70C815C5" w:rsidR="00787342" w:rsidRDefault="003B4375">
            <w:pPr>
              <w:spacing w:before="120"/>
              <w:jc w:val="center"/>
              <w:rPr>
                <w:rFonts w:ascii="Symbol" w:hAnsi="Symbol"/>
                <w:kern w:val="32"/>
                <w:lang w:val="en-NZ"/>
              </w:rPr>
            </w:pPr>
            <w:r>
              <w:rPr>
                <w:rFonts w:ascii="Symbol" w:hAnsi="Symbol"/>
                <w:kern w:val="32"/>
                <w:lang w:val="en-NZ"/>
              </w:rPr>
              <w:t>187.13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C82B" w14:textId="56993FEE" w:rsidR="00787342" w:rsidRPr="003B4375" w:rsidRDefault="003B4375">
            <w:pPr>
              <w:spacing w:before="120"/>
              <w:jc w:val="center"/>
              <w:rPr>
                <w:b/>
                <w:kern w:val="32"/>
                <w:vertAlign w:val="superscript"/>
                <w:lang w:val="en-NZ"/>
              </w:rPr>
            </w:pPr>
            <w:r>
              <w:rPr>
                <w:b/>
                <w:kern w:val="32"/>
                <w:lang w:val="en-NZ"/>
              </w:rPr>
              <w:t>[</w:t>
            </w:r>
            <w:r w:rsidR="00787342">
              <w:rPr>
                <w:b/>
                <w:kern w:val="32"/>
                <w:lang w:val="en-NZ"/>
              </w:rPr>
              <w:t>C</w:t>
            </w:r>
            <w:r w:rsidR="00787342">
              <w:rPr>
                <w:b/>
                <w:kern w:val="32"/>
                <w:vertAlign w:val="subscript"/>
                <w:lang w:val="en-NZ"/>
              </w:rPr>
              <w:t>13</w:t>
            </w:r>
            <w:r w:rsidR="00787342">
              <w:rPr>
                <w:b/>
                <w:kern w:val="32"/>
                <w:lang w:val="en-NZ"/>
              </w:rPr>
              <w:t>H</w:t>
            </w:r>
            <w:r w:rsidR="00787342">
              <w:rPr>
                <w:b/>
                <w:kern w:val="32"/>
                <w:vertAlign w:val="subscript"/>
                <w:lang w:val="en-NZ"/>
              </w:rPr>
              <w:t>16</w:t>
            </w:r>
            <w:r w:rsidR="00787342">
              <w:rPr>
                <w:b/>
                <w:kern w:val="32"/>
                <w:lang w:val="en-NZ"/>
              </w:rPr>
              <w:t>N</w:t>
            </w:r>
            <w:r>
              <w:rPr>
                <w:b/>
                <w:kern w:val="32"/>
                <w:lang w:val="en-NZ"/>
              </w:rPr>
              <w:t xml:space="preserve"> + </w:t>
            </w:r>
            <w:proofErr w:type="gramStart"/>
            <w:r>
              <w:rPr>
                <w:b/>
                <w:kern w:val="32"/>
                <w:lang w:val="en-NZ"/>
              </w:rPr>
              <w:t>H]</w:t>
            </w:r>
            <w:r>
              <w:rPr>
                <w:b/>
                <w:kern w:val="32"/>
                <w:vertAlign w:val="superscript"/>
                <w:lang w:val="en-NZ"/>
              </w:rPr>
              <w:t>+</w:t>
            </w:r>
            <w:proofErr w:type="gramEnd"/>
          </w:p>
        </w:tc>
      </w:tr>
    </w:tbl>
    <w:p w14:paraId="5B2F8F60" w14:textId="77777777" w:rsidR="009B2C41" w:rsidRDefault="009B2C41" w:rsidP="002A1A2B">
      <w:pPr>
        <w:pStyle w:val="Heading3"/>
        <w:rPr>
          <w:lang w:val="en-NZ"/>
        </w:rPr>
      </w:pPr>
    </w:p>
    <w:p w14:paraId="36D1FDE3" w14:textId="77777777" w:rsidR="003B4375" w:rsidRDefault="003B4375" w:rsidP="003B4375">
      <w:pPr>
        <w:rPr>
          <w:lang w:val="en-NZ"/>
        </w:rPr>
      </w:pPr>
    </w:p>
    <w:p w14:paraId="4351C8D0" w14:textId="77777777" w:rsidR="003B4375" w:rsidRPr="003B4375" w:rsidRDefault="003B4375" w:rsidP="003B4375">
      <w:pPr>
        <w:rPr>
          <w:lang w:val="en-NZ"/>
        </w:rPr>
      </w:pPr>
    </w:p>
    <w:p w14:paraId="739279DC" w14:textId="77777777" w:rsidR="003C7D87" w:rsidRPr="003C7D87" w:rsidRDefault="0096122A" w:rsidP="00444C1E">
      <w:pPr>
        <w:pStyle w:val="Heading3"/>
        <w:rPr>
          <w:b/>
          <w:lang w:val="en-NZ"/>
        </w:rPr>
      </w:pPr>
      <w:r w:rsidRPr="003C7D87">
        <w:rPr>
          <w:lang w:val="en-NZ"/>
        </w:rPr>
        <w:lastRenderedPageBreak/>
        <w:t>Discussion</w:t>
      </w:r>
      <w:r w:rsidR="005C1BC8" w:rsidRPr="003C7D87">
        <w:rPr>
          <w:lang w:val="en-NZ"/>
        </w:rPr>
        <w:t xml:space="preserve"> </w:t>
      </w:r>
    </w:p>
    <w:p w14:paraId="58427708" w14:textId="467E00B8" w:rsidR="0096122A" w:rsidRDefault="008E0F70" w:rsidP="00EE2400">
      <w:pPr>
        <w:pStyle w:val="Heading3"/>
        <w:spacing w:after="100" w:afterAutospacing="1"/>
        <w:rPr>
          <w:bCs w:val="0"/>
          <w:i w:val="0"/>
          <w:iCs/>
          <w:u w:val="none"/>
          <w:lang w:val="en-NZ"/>
        </w:rPr>
      </w:pPr>
      <w:r>
        <w:rPr>
          <w:bCs w:val="0"/>
          <w:i w:val="0"/>
          <w:iCs/>
          <w:u w:val="none"/>
          <w:lang w:val="en-NZ"/>
        </w:rPr>
        <w:t xml:space="preserve">To assign the proton resonances of our substituted quinoline we began by assigning the chemical shift and coupling constants of the H-2, H-3 and H-4 pyridine protons and the four benzene protons in unsubstituted quinoline. We then compared these with the provided COSY/NOESY spectra of the product derived from our unknown aniline and matched theses to the </w:t>
      </w:r>
      <w:r>
        <w:rPr>
          <w:bCs w:val="0"/>
          <w:i w:val="0"/>
          <w:iCs/>
          <w:u w:val="none"/>
          <w:vertAlign w:val="superscript"/>
          <w:lang w:val="en-NZ"/>
        </w:rPr>
        <w:t>1</w:t>
      </w:r>
      <w:r>
        <w:rPr>
          <w:bCs w:val="0"/>
          <w:i w:val="0"/>
          <w:iCs/>
          <w:u w:val="none"/>
          <w:lang w:val="en-NZ"/>
        </w:rPr>
        <w:t>H NMR spectrum of our final product. The most downfield signal at 8.85 ppm (dd, J = 7.7, 1.7 Hz) was assigned to H</w:t>
      </w:r>
      <w:r>
        <w:rPr>
          <w:bCs w:val="0"/>
          <w:i w:val="0"/>
          <w:iCs/>
          <w:u w:val="none"/>
          <w:vertAlign w:val="subscript"/>
          <w:lang w:val="en-NZ"/>
        </w:rPr>
        <w:t>1</w:t>
      </w:r>
      <w:r>
        <w:rPr>
          <w:bCs w:val="0"/>
          <w:i w:val="0"/>
          <w:iCs/>
          <w:u w:val="none"/>
          <w:lang w:val="en-NZ"/>
        </w:rPr>
        <w:t xml:space="preserve"> the proton adjacent to ring nitrogen</w:t>
      </w:r>
      <w:r w:rsidR="00EE2400">
        <w:rPr>
          <w:bCs w:val="0"/>
          <w:i w:val="0"/>
          <w:iCs/>
          <w:u w:val="none"/>
          <w:lang w:val="en-NZ"/>
        </w:rPr>
        <w:t xml:space="preserve"> as the electronegativity of nitrogen shift the signal downfield. The 7.36 ppm (dd, J = 8.2, 4.2 Hz) was assigned to H</w:t>
      </w:r>
      <w:r w:rsidR="00EE2400">
        <w:rPr>
          <w:bCs w:val="0"/>
          <w:i w:val="0"/>
          <w:iCs/>
          <w:u w:val="none"/>
          <w:vertAlign w:val="subscript"/>
          <w:lang w:val="en-NZ"/>
        </w:rPr>
        <w:t>2</w:t>
      </w:r>
      <w:r w:rsidR="00EE2400">
        <w:rPr>
          <w:bCs w:val="0"/>
          <w:i w:val="0"/>
          <w:iCs/>
          <w:u w:val="none"/>
          <w:lang w:val="en-NZ"/>
        </w:rPr>
        <w:t xml:space="preserve"> as </w:t>
      </w:r>
      <w:r w:rsidR="00A87E47">
        <w:rPr>
          <w:bCs w:val="0"/>
          <w:i w:val="0"/>
          <w:iCs/>
          <w:u w:val="none"/>
          <w:lang w:val="en-NZ"/>
        </w:rPr>
        <w:t>ortho-</w:t>
      </w:r>
      <w:r w:rsidR="00EE2400">
        <w:rPr>
          <w:bCs w:val="0"/>
          <w:i w:val="0"/>
          <w:iCs/>
          <w:u w:val="none"/>
          <w:lang w:val="en-NZ"/>
        </w:rPr>
        <w:t>coupling</w:t>
      </w:r>
      <w:r w:rsidR="00A87E47">
        <w:rPr>
          <w:bCs w:val="0"/>
          <w:i w:val="0"/>
          <w:iCs/>
          <w:u w:val="none"/>
          <w:lang w:val="en-NZ"/>
        </w:rPr>
        <w:t xml:space="preserve"> (6-10 Hz)</w:t>
      </w:r>
      <w:r w:rsidR="00EE2400">
        <w:rPr>
          <w:bCs w:val="0"/>
          <w:i w:val="0"/>
          <w:iCs/>
          <w:u w:val="none"/>
          <w:lang w:val="en-NZ"/>
        </w:rPr>
        <w:t xml:space="preserve"> with H</w:t>
      </w:r>
      <w:r w:rsidR="00EE2400">
        <w:rPr>
          <w:bCs w:val="0"/>
          <w:i w:val="0"/>
          <w:iCs/>
          <w:u w:val="none"/>
          <w:vertAlign w:val="subscript"/>
          <w:lang w:val="en-NZ"/>
        </w:rPr>
        <w:t xml:space="preserve">1 </w:t>
      </w:r>
      <w:r w:rsidR="00EE2400">
        <w:rPr>
          <w:bCs w:val="0"/>
          <w:i w:val="0"/>
          <w:iCs/>
          <w:u w:val="none"/>
          <w:lang w:val="en-NZ"/>
        </w:rPr>
        <w:t>was observed on the COSY and NOESY spectra</w:t>
      </w:r>
      <w:r w:rsidR="00A87E47">
        <w:rPr>
          <w:bCs w:val="0"/>
          <w:i w:val="0"/>
          <w:iCs/>
          <w:u w:val="none"/>
          <w:lang w:val="en-NZ"/>
        </w:rPr>
        <w:t xml:space="preserve">, </w:t>
      </w:r>
      <w:r w:rsidR="00EE2400">
        <w:rPr>
          <w:bCs w:val="0"/>
          <w:i w:val="0"/>
          <w:iCs/>
          <w:u w:val="none"/>
          <w:lang w:val="en-NZ"/>
        </w:rPr>
        <w:t>additionally this allowed us to identify the signal at 8.12 ppm (d, J = 8.2 Hz) as H</w:t>
      </w:r>
      <w:r w:rsidR="00EE2400">
        <w:rPr>
          <w:bCs w:val="0"/>
          <w:i w:val="0"/>
          <w:iCs/>
          <w:u w:val="none"/>
          <w:vertAlign w:val="subscript"/>
          <w:lang w:val="en-NZ"/>
        </w:rPr>
        <w:t>3</w:t>
      </w:r>
      <w:r w:rsidR="00EE2400">
        <w:rPr>
          <w:bCs w:val="0"/>
          <w:i w:val="0"/>
          <w:iCs/>
          <w:u w:val="none"/>
          <w:lang w:val="en-NZ"/>
        </w:rPr>
        <w:t xml:space="preserve"> </w:t>
      </w:r>
      <w:r w:rsidR="00A87E47">
        <w:rPr>
          <w:bCs w:val="0"/>
          <w:i w:val="0"/>
          <w:iCs/>
          <w:u w:val="none"/>
          <w:lang w:val="en-NZ"/>
        </w:rPr>
        <w:t>ortho-coupling</w:t>
      </w:r>
      <w:r w:rsidR="00EE2400">
        <w:rPr>
          <w:bCs w:val="0"/>
          <w:i w:val="0"/>
          <w:iCs/>
          <w:u w:val="none"/>
          <w:lang w:val="en-NZ"/>
        </w:rPr>
        <w:t xml:space="preserve"> with H</w:t>
      </w:r>
      <w:r w:rsidR="00EE2400">
        <w:rPr>
          <w:bCs w:val="0"/>
          <w:i w:val="0"/>
          <w:iCs/>
          <w:u w:val="none"/>
          <w:vertAlign w:val="subscript"/>
          <w:lang w:val="en-NZ"/>
        </w:rPr>
        <w:t xml:space="preserve">2 </w:t>
      </w:r>
      <w:r w:rsidR="00EE2400">
        <w:rPr>
          <w:bCs w:val="0"/>
          <w:i w:val="0"/>
          <w:iCs/>
          <w:u w:val="none"/>
          <w:lang w:val="en-NZ"/>
        </w:rPr>
        <w:t>was observed.</w:t>
      </w:r>
    </w:p>
    <w:p w14:paraId="2B356AFB" w14:textId="376D9031" w:rsidR="00A87E47" w:rsidRPr="00A87E47" w:rsidRDefault="00A87E47" w:rsidP="00A87E47">
      <w:pPr>
        <w:spacing w:after="100" w:afterAutospacing="1"/>
        <w:rPr>
          <w:sz w:val="28"/>
          <w:szCs w:val="28"/>
          <w:lang w:val="en-NZ"/>
        </w:rPr>
      </w:pPr>
      <w:r>
        <w:rPr>
          <w:lang w:val="en-NZ"/>
        </w:rPr>
        <w:t>On the benzene ring the doublet of doublets at 7.81 ppm (J = 8.9, 2.2 Hz) was assigned to H</w:t>
      </w:r>
      <w:r>
        <w:rPr>
          <w:vertAlign w:val="subscript"/>
          <w:lang w:val="en-NZ"/>
        </w:rPr>
        <w:t>6</w:t>
      </w:r>
      <w:r>
        <w:rPr>
          <w:vertAlign w:val="superscript"/>
          <w:lang w:val="en-NZ"/>
        </w:rPr>
        <w:t xml:space="preserve"> </w:t>
      </w:r>
      <w:r>
        <w:rPr>
          <w:lang w:val="en-NZ"/>
        </w:rPr>
        <w:t>(ortho-coupled to H</w:t>
      </w:r>
      <w:r>
        <w:rPr>
          <w:vertAlign w:val="subscript"/>
          <w:lang w:val="en-NZ"/>
        </w:rPr>
        <w:t>7</w:t>
      </w:r>
      <w:r>
        <w:rPr>
          <w:lang w:val="en-NZ"/>
        </w:rPr>
        <w:t>, meta coupled to H</w:t>
      </w:r>
      <w:r>
        <w:rPr>
          <w:vertAlign w:val="subscript"/>
          <w:lang w:val="en-NZ"/>
        </w:rPr>
        <w:t>4</w:t>
      </w:r>
      <w:r>
        <w:rPr>
          <w:lang w:val="en-NZ"/>
        </w:rPr>
        <w:t>)</w:t>
      </w:r>
      <w:r>
        <w:rPr>
          <w:lang w:val="en-NZ"/>
        </w:rPr>
        <w:t>; the doublet at 8.05 ppm (J = 8.9 Hz) to H</w:t>
      </w:r>
      <w:r>
        <w:rPr>
          <w:vertAlign w:val="subscript"/>
          <w:lang w:val="en-NZ"/>
        </w:rPr>
        <w:t>7</w:t>
      </w:r>
      <w:r>
        <w:rPr>
          <w:lang w:val="en-NZ"/>
        </w:rPr>
        <w:t>; and the doublet at 7.72 ppm (J = 2.2 Hz) to H4</w:t>
      </w:r>
      <w:r>
        <w:rPr>
          <w:sz w:val="28"/>
          <w:szCs w:val="28"/>
          <w:lang w:val="en-NZ"/>
        </w:rPr>
        <w:t>. The singlet at 1.43</w:t>
      </w:r>
      <w:r w:rsidR="00E53173">
        <w:rPr>
          <w:sz w:val="28"/>
          <w:szCs w:val="28"/>
          <w:lang w:val="en-NZ"/>
        </w:rPr>
        <w:t xml:space="preserve"> ppm</w:t>
      </w:r>
      <w:r>
        <w:rPr>
          <w:sz w:val="28"/>
          <w:szCs w:val="28"/>
          <w:lang w:val="en-NZ"/>
        </w:rPr>
        <w:t xml:space="preserve"> with </w:t>
      </w:r>
      <w:proofErr w:type="gramStart"/>
      <w:r>
        <w:rPr>
          <w:sz w:val="28"/>
          <w:szCs w:val="28"/>
          <w:lang w:val="en-NZ"/>
        </w:rPr>
        <w:t>a</w:t>
      </w:r>
      <w:proofErr w:type="gramEnd"/>
      <w:r>
        <w:rPr>
          <w:sz w:val="28"/>
          <w:szCs w:val="28"/>
          <w:lang w:val="en-NZ"/>
        </w:rPr>
        <w:t xml:space="preserve"> integration of 12 H was </w:t>
      </w:r>
      <w:r w:rsidR="00E53173">
        <w:rPr>
          <w:sz w:val="28"/>
          <w:szCs w:val="28"/>
          <w:lang w:val="en-NZ"/>
        </w:rPr>
        <w:t>characteristic of a tert-butyl group (H</w:t>
      </w:r>
      <w:r w:rsidR="00E53173">
        <w:rPr>
          <w:sz w:val="28"/>
          <w:szCs w:val="28"/>
          <w:vertAlign w:val="subscript"/>
          <w:lang w:val="en-NZ"/>
        </w:rPr>
        <w:t>5</w:t>
      </w:r>
      <w:r w:rsidR="00E53173">
        <w:rPr>
          <w:sz w:val="28"/>
          <w:szCs w:val="28"/>
          <w:lang w:val="en-NZ"/>
        </w:rPr>
        <w:t>)</w:t>
      </w:r>
    </w:p>
    <w:p w14:paraId="778F82CC" w14:textId="03228A10" w:rsidR="00EE2400" w:rsidRDefault="003712FB" w:rsidP="00EE2400">
      <w:pPr>
        <w:spacing w:after="100" w:afterAutospacing="1"/>
        <w:rPr>
          <w:lang w:val="en-NZ"/>
        </w:rPr>
      </w:pPr>
      <w:r>
        <w:rPr>
          <w:lang w:val="en-NZ"/>
        </w:rPr>
        <w:t>The ESI-MS of the product shows a protonated molecular ion at m/z 187.13 ([C</w:t>
      </w:r>
      <w:r>
        <w:rPr>
          <w:vertAlign w:val="subscript"/>
          <w:lang w:val="en-NZ"/>
        </w:rPr>
        <w:t>13</w:t>
      </w:r>
      <w:r>
        <w:rPr>
          <w:lang w:val="en-NZ"/>
        </w:rPr>
        <w:t>H</w:t>
      </w:r>
      <w:r>
        <w:rPr>
          <w:vertAlign w:val="subscript"/>
          <w:lang w:val="en-NZ"/>
        </w:rPr>
        <w:t>16</w:t>
      </w:r>
      <w:r>
        <w:rPr>
          <w:lang w:val="en-NZ"/>
        </w:rPr>
        <w:t xml:space="preserve">N + </w:t>
      </w:r>
      <w:proofErr w:type="gramStart"/>
      <w:r>
        <w:rPr>
          <w:lang w:val="en-NZ"/>
        </w:rPr>
        <w:t>H]</w:t>
      </w:r>
      <w:r>
        <w:rPr>
          <w:vertAlign w:val="superscript"/>
          <w:lang w:val="en-NZ"/>
        </w:rPr>
        <w:t>+</w:t>
      </w:r>
      <w:proofErr w:type="gramEnd"/>
      <w:r>
        <w:rPr>
          <w:lang w:val="en-NZ"/>
        </w:rPr>
        <w:t>) and a fragment at 171.09 ([M-CH</w:t>
      </w:r>
      <w:proofErr w:type="gramStart"/>
      <w:r>
        <w:rPr>
          <w:vertAlign w:val="subscript"/>
          <w:lang w:val="en-NZ"/>
        </w:rPr>
        <w:t>3</w:t>
      </w:r>
      <w:r>
        <w:rPr>
          <w:lang w:val="en-NZ"/>
        </w:rPr>
        <w:t>]</w:t>
      </w:r>
      <w:r>
        <w:rPr>
          <w:vertAlign w:val="superscript"/>
          <w:lang w:val="en-NZ"/>
        </w:rPr>
        <w:t>+</w:t>
      </w:r>
      <w:proofErr w:type="gramEnd"/>
      <w:r>
        <w:rPr>
          <w:lang w:val="en-NZ"/>
        </w:rPr>
        <w:t>) consistent with the lost of a methyl from the tert-butyl group</w:t>
      </w:r>
      <w:r w:rsidR="008C5B61">
        <w:rPr>
          <w:lang w:val="en-NZ"/>
        </w:rPr>
        <w:t xml:space="preserve">. These peaks help confirm the molecular weight and presence of tert-butyl </w:t>
      </w:r>
      <w:proofErr w:type="gramStart"/>
      <w:r w:rsidR="008C5B61">
        <w:rPr>
          <w:lang w:val="en-NZ"/>
        </w:rPr>
        <w:t>group,</w:t>
      </w:r>
      <w:proofErr w:type="gramEnd"/>
      <w:r w:rsidR="008C5B61">
        <w:rPr>
          <w:lang w:val="en-NZ"/>
        </w:rPr>
        <w:t xml:space="preserve"> mass spectroscopy can’t confirm the positional isomers of the molecule. Regioselective assignment relied on 2D NMR correlations.</w:t>
      </w:r>
    </w:p>
    <w:p w14:paraId="17676D49" w14:textId="74AEC20F" w:rsidR="008C5B61" w:rsidRPr="00A87E47" w:rsidRDefault="00A87E47" w:rsidP="00EE2400">
      <w:pPr>
        <w:spacing w:after="100" w:afterAutospacing="1"/>
        <w:rPr>
          <w:lang w:val="en-NZ"/>
        </w:rPr>
      </w:pPr>
      <w:r>
        <w:rPr>
          <w:lang w:val="en-NZ"/>
        </w:rPr>
        <w:t>On the benzene ring the doublet of doublets at 7.81 ppm (J = 8.9, 2.2 Hz) was assigned to H</w:t>
      </w:r>
      <w:r>
        <w:rPr>
          <w:vertAlign w:val="subscript"/>
          <w:lang w:val="en-NZ"/>
        </w:rPr>
        <w:t>6</w:t>
      </w:r>
      <w:r>
        <w:rPr>
          <w:vertAlign w:val="superscript"/>
          <w:lang w:val="en-NZ"/>
        </w:rPr>
        <w:t xml:space="preserve"> </w:t>
      </w:r>
      <w:r>
        <w:rPr>
          <w:lang w:val="en-NZ"/>
        </w:rPr>
        <w:t>(ortho-coupled to H</w:t>
      </w:r>
      <w:r>
        <w:rPr>
          <w:vertAlign w:val="subscript"/>
          <w:lang w:val="en-NZ"/>
        </w:rPr>
        <w:t>7</w:t>
      </w:r>
      <w:r>
        <w:rPr>
          <w:lang w:val="en-NZ"/>
        </w:rPr>
        <w:t>, meta coupled to H</w:t>
      </w:r>
      <w:r>
        <w:rPr>
          <w:vertAlign w:val="subscript"/>
          <w:lang w:val="en-NZ"/>
        </w:rPr>
        <w:t>4</w:t>
      </w:r>
      <w:r>
        <w:rPr>
          <w:lang w:val="en-NZ"/>
        </w:rPr>
        <w:t>)</w:t>
      </w:r>
    </w:p>
    <w:p w14:paraId="08DD5DEE" w14:textId="77777777" w:rsidR="002E7848" w:rsidRPr="00FC70F7" w:rsidRDefault="002E7848" w:rsidP="0096122A">
      <w:pPr>
        <w:rPr>
          <w:b/>
          <w:lang w:val="en-NZ"/>
        </w:rPr>
      </w:pPr>
    </w:p>
    <w:p w14:paraId="2F6915C8" w14:textId="77777777" w:rsidR="002E7848" w:rsidRPr="00FC70F7" w:rsidRDefault="002E7848" w:rsidP="002E7848">
      <w:pPr>
        <w:numPr>
          <w:ilvl w:val="0"/>
          <w:numId w:val="8"/>
        </w:numPr>
        <w:rPr>
          <w:i/>
          <w:lang w:val="en-NZ"/>
        </w:rPr>
      </w:pPr>
      <w:r w:rsidRPr="00FC70F7">
        <w:rPr>
          <w:i/>
          <w:lang w:val="en-NZ"/>
        </w:rPr>
        <w:t>Remember to append to your report your risk asse</w:t>
      </w:r>
      <w:r w:rsidR="0091230B" w:rsidRPr="00FC70F7">
        <w:rPr>
          <w:i/>
          <w:lang w:val="en-NZ"/>
        </w:rPr>
        <w:t>ss</w:t>
      </w:r>
      <w:r w:rsidRPr="00FC70F7">
        <w:rPr>
          <w:i/>
          <w:lang w:val="en-NZ"/>
        </w:rPr>
        <w:t xml:space="preserve">ment form, and </w:t>
      </w:r>
      <w:r w:rsidRPr="00FC70F7">
        <w:rPr>
          <w:b/>
          <w:i/>
          <w:lang w:val="en-NZ"/>
        </w:rPr>
        <w:t>all</w:t>
      </w:r>
      <w:r w:rsidRPr="00FC70F7">
        <w:rPr>
          <w:i/>
          <w:lang w:val="en-NZ"/>
        </w:rPr>
        <w:t xml:space="preserve"> spectral data. </w:t>
      </w:r>
    </w:p>
    <w:p w14:paraId="6D755479" w14:textId="77777777" w:rsidR="002E7848" w:rsidRPr="00FC70F7" w:rsidRDefault="002E7848" w:rsidP="002E7848">
      <w:pPr>
        <w:numPr>
          <w:ilvl w:val="0"/>
          <w:numId w:val="8"/>
        </w:numPr>
        <w:rPr>
          <w:i/>
          <w:lang w:val="en-NZ"/>
        </w:rPr>
      </w:pPr>
      <w:r w:rsidRPr="00FC70F7">
        <w:rPr>
          <w:i/>
          <w:lang w:val="en-NZ"/>
        </w:rPr>
        <w:t>Make sure each appended item is clearly labelled with a title and explanatory legend.</w:t>
      </w:r>
    </w:p>
    <w:p w14:paraId="49369659" w14:textId="77777777" w:rsidR="00B74C17" w:rsidRPr="00FC70F7" w:rsidRDefault="00B74C17" w:rsidP="00B74C17">
      <w:pPr>
        <w:rPr>
          <w:i/>
          <w:lang w:val="en-NZ"/>
        </w:rPr>
      </w:pPr>
    </w:p>
    <w:p w14:paraId="0BF70124" w14:textId="77777777" w:rsidR="00B74C17" w:rsidRPr="002E7848" w:rsidRDefault="00B74C17" w:rsidP="00B74C17">
      <w:pPr>
        <w:rPr>
          <w:i/>
          <w:lang w:val="en-NZ"/>
        </w:rPr>
      </w:pPr>
    </w:p>
    <w:sectPr w:rsidR="00B74C17" w:rsidRPr="002E7848" w:rsidSect="00D472CD">
      <w:pgSz w:w="11907" w:h="16840" w:code="9"/>
      <w:pgMar w:top="1134" w:right="102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616"/>
    <w:multiLevelType w:val="singleLevel"/>
    <w:tmpl w:val="621EAD4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B7444B"/>
    <w:multiLevelType w:val="multilevel"/>
    <w:tmpl w:val="2EB65620"/>
    <w:lvl w:ilvl="0">
      <w:start w:val="1"/>
      <w:numFmt w:val="decimal"/>
      <w:suff w:val="nothing"/>
      <w:lvlText w:val="Experiment %1"/>
      <w:lvlJc w:val="right"/>
      <w:pPr>
        <w:ind w:left="0" w:firstLine="288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B421FE3"/>
    <w:multiLevelType w:val="multilevel"/>
    <w:tmpl w:val="1CE25128"/>
    <w:lvl w:ilvl="0">
      <w:start w:val="1"/>
      <w:numFmt w:val="upperRoman"/>
      <w:lvlText w:val="Article %1."/>
      <w:lvlJc w:val="left"/>
      <w:pPr>
        <w:tabs>
          <w:tab w:val="num" w:pos="39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43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65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80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46FB4824"/>
    <w:multiLevelType w:val="hybridMultilevel"/>
    <w:tmpl w:val="8B5A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0941">
    <w:abstractNumId w:val="0"/>
  </w:num>
  <w:num w:numId="2" w16cid:durableId="1762023370">
    <w:abstractNumId w:val="1"/>
  </w:num>
  <w:num w:numId="3" w16cid:durableId="904612166">
    <w:abstractNumId w:val="1"/>
  </w:num>
  <w:num w:numId="4" w16cid:durableId="1033926288">
    <w:abstractNumId w:val="2"/>
  </w:num>
  <w:num w:numId="5" w16cid:durableId="1421412747">
    <w:abstractNumId w:val="2"/>
  </w:num>
  <w:num w:numId="6" w16cid:durableId="1308433920">
    <w:abstractNumId w:val="2"/>
  </w:num>
  <w:num w:numId="7" w16cid:durableId="428743177">
    <w:abstractNumId w:val="2"/>
  </w:num>
  <w:num w:numId="8" w16cid:durableId="2052264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4"/>
    <w:rsid w:val="000350E3"/>
    <w:rsid w:val="000A1D54"/>
    <w:rsid w:val="00122D82"/>
    <w:rsid w:val="001D45E7"/>
    <w:rsid w:val="00224650"/>
    <w:rsid w:val="002936AC"/>
    <w:rsid w:val="002A1A2B"/>
    <w:rsid w:val="002B164E"/>
    <w:rsid w:val="002E7848"/>
    <w:rsid w:val="00324721"/>
    <w:rsid w:val="003321FD"/>
    <w:rsid w:val="00347F3D"/>
    <w:rsid w:val="003712FB"/>
    <w:rsid w:val="003B4375"/>
    <w:rsid w:val="003C7D87"/>
    <w:rsid w:val="003D5EBC"/>
    <w:rsid w:val="00535E77"/>
    <w:rsid w:val="005C1BC8"/>
    <w:rsid w:val="00787342"/>
    <w:rsid w:val="00796988"/>
    <w:rsid w:val="00811FF4"/>
    <w:rsid w:val="008163D2"/>
    <w:rsid w:val="00867C37"/>
    <w:rsid w:val="008C5B61"/>
    <w:rsid w:val="008D48F5"/>
    <w:rsid w:val="008E0F70"/>
    <w:rsid w:val="0091230B"/>
    <w:rsid w:val="0096122A"/>
    <w:rsid w:val="009A30D4"/>
    <w:rsid w:val="009B2C41"/>
    <w:rsid w:val="009C294C"/>
    <w:rsid w:val="009D1C21"/>
    <w:rsid w:val="009E1E13"/>
    <w:rsid w:val="00A07512"/>
    <w:rsid w:val="00A07858"/>
    <w:rsid w:val="00A87E47"/>
    <w:rsid w:val="00AB593D"/>
    <w:rsid w:val="00AF0746"/>
    <w:rsid w:val="00B14869"/>
    <w:rsid w:val="00B74C17"/>
    <w:rsid w:val="00C26C80"/>
    <w:rsid w:val="00C309BE"/>
    <w:rsid w:val="00C76491"/>
    <w:rsid w:val="00CF6249"/>
    <w:rsid w:val="00D472CD"/>
    <w:rsid w:val="00D547AF"/>
    <w:rsid w:val="00D72D5B"/>
    <w:rsid w:val="00D74F10"/>
    <w:rsid w:val="00D8503E"/>
    <w:rsid w:val="00DC004D"/>
    <w:rsid w:val="00DC3168"/>
    <w:rsid w:val="00E0616A"/>
    <w:rsid w:val="00E4483C"/>
    <w:rsid w:val="00E53173"/>
    <w:rsid w:val="00E84F0C"/>
    <w:rsid w:val="00EC6D48"/>
    <w:rsid w:val="00EE2400"/>
    <w:rsid w:val="00FB3B7E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BFB3"/>
  <w15:chartTrackingRefBased/>
  <w15:docId w15:val="{92C1BC8F-BF85-43B2-A2D9-4C05D5D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8E"/>
    <w:pPr>
      <w:spacing w:after="12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8218E"/>
    <w:pPr>
      <w:spacing w:before="12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8218E"/>
    <w:pPr>
      <w:keepNext/>
      <w:numPr>
        <w:ilvl w:val="1"/>
        <w:numId w:val="3"/>
      </w:numPr>
      <w:spacing w:before="3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218E"/>
    <w:pPr>
      <w:keepNext/>
      <w:numPr>
        <w:ilvl w:val="2"/>
        <w:numId w:val="3"/>
      </w:numPr>
      <w:spacing w:before="240" w:after="60"/>
      <w:outlineLvl w:val="2"/>
    </w:pPr>
    <w:rPr>
      <w:rFonts w:cs="Arial"/>
      <w:bCs/>
      <w:i/>
      <w:szCs w:val="26"/>
      <w:u w:val="single"/>
    </w:rPr>
  </w:style>
  <w:style w:type="paragraph" w:styleId="Heading4">
    <w:name w:val="heading 4"/>
    <w:basedOn w:val="Normal"/>
    <w:next w:val="Normal"/>
    <w:qFormat/>
    <w:rsid w:val="0008218E"/>
    <w:pPr>
      <w:keepNext/>
      <w:numPr>
        <w:ilvl w:val="3"/>
        <w:numId w:val="7"/>
      </w:numPr>
      <w:tabs>
        <w:tab w:val="clear" w:pos="864"/>
      </w:tabs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8218E"/>
    <w:pPr>
      <w:numPr>
        <w:ilvl w:val="4"/>
        <w:numId w:val="7"/>
      </w:numPr>
      <w:tabs>
        <w:tab w:val="clear" w:pos="1656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8218E"/>
    <w:pPr>
      <w:numPr>
        <w:ilvl w:val="5"/>
        <w:numId w:val="7"/>
      </w:numPr>
      <w:tabs>
        <w:tab w:val="clear" w:pos="180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8218E"/>
    <w:pPr>
      <w:spacing w:before="240" w:after="60"/>
      <w:jc w:val="center"/>
      <w:outlineLvl w:val="6"/>
    </w:pPr>
    <w:rPr>
      <w:rFonts w:ascii="NewCenturySchlbk" w:hAnsi="NewCenturySchlbk"/>
      <w:b/>
      <w:sz w:val="120"/>
    </w:rPr>
  </w:style>
  <w:style w:type="paragraph" w:styleId="Heading8">
    <w:name w:val="heading 8"/>
    <w:basedOn w:val="Normal"/>
    <w:next w:val="Normal"/>
    <w:qFormat/>
    <w:rsid w:val="0008218E"/>
    <w:pPr>
      <w:spacing w:before="240" w:after="60"/>
      <w:jc w:val="center"/>
      <w:outlineLvl w:val="7"/>
    </w:pPr>
    <w:rPr>
      <w:b/>
      <w:i/>
      <w:iCs/>
      <w:sz w:val="68"/>
    </w:rPr>
  </w:style>
  <w:style w:type="paragraph" w:styleId="Heading9">
    <w:name w:val="heading 9"/>
    <w:basedOn w:val="Normal"/>
    <w:next w:val="Normal"/>
    <w:qFormat/>
    <w:rsid w:val="0008218E"/>
    <w:pPr>
      <w:numPr>
        <w:ilvl w:val="8"/>
        <w:numId w:val="7"/>
      </w:numPr>
      <w:tabs>
        <w:tab w:val="clear" w:pos="1584"/>
      </w:tabs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8218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8218E"/>
    <w:pPr>
      <w:jc w:val="both"/>
    </w:pPr>
    <w:rPr>
      <w:szCs w:val="20"/>
    </w:rPr>
  </w:style>
  <w:style w:type="paragraph" w:styleId="BodyText2">
    <w:name w:val="Body Text 2"/>
    <w:basedOn w:val="Normal"/>
    <w:rsid w:val="0008218E"/>
    <w:pPr>
      <w:spacing w:after="0" w:line="480" w:lineRule="auto"/>
      <w:ind w:right="-45"/>
    </w:pPr>
    <w:rPr>
      <w:szCs w:val="20"/>
    </w:rPr>
  </w:style>
  <w:style w:type="paragraph" w:styleId="BodyTextIndent">
    <w:name w:val="Body Text Indent"/>
    <w:basedOn w:val="Normal"/>
    <w:rsid w:val="0008218E"/>
    <w:pPr>
      <w:tabs>
        <w:tab w:val="left" w:pos="567"/>
      </w:tabs>
      <w:spacing w:after="0"/>
      <w:ind w:left="567" w:hanging="567"/>
    </w:pPr>
    <w:rPr>
      <w:szCs w:val="20"/>
      <w:lang w:val="en-NZ"/>
    </w:rPr>
  </w:style>
  <w:style w:type="paragraph" w:styleId="BodyTextIndent2">
    <w:name w:val="Body Text Indent 2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after="0"/>
      <w:ind w:left="570"/>
      <w:jc w:val="both"/>
    </w:pPr>
    <w:rPr>
      <w:szCs w:val="20"/>
      <w:lang w:val="en-AU"/>
    </w:rPr>
  </w:style>
  <w:style w:type="paragraph" w:styleId="BodyTextIndent3">
    <w:name w:val="Body Text Indent 3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 w:after="0"/>
      <w:ind w:left="360" w:hanging="360"/>
      <w:jc w:val="both"/>
    </w:pPr>
    <w:rPr>
      <w:szCs w:val="20"/>
      <w:lang w:val="en-AU"/>
    </w:rPr>
  </w:style>
  <w:style w:type="paragraph" w:customStyle="1" w:styleId="Bullet">
    <w:name w:val="Bullet"/>
    <w:basedOn w:val="BodyText"/>
    <w:rsid w:val="0008218E"/>
    <w:pPr>
      <w:numPr>
        <w:numId w:val="1"/>
      </w:numPr>
      <w:tabs>
        <w:tab w:val="clear" w:pos="360"/>
      </w:tabs>
      <w:spacing w:before="120"/>
      <w:ind w:left="0" w:firstLine="0"/>
    </w:pPr>
  </w:style>
  <w:style w:type="paragraph" w:styleId="Caption">
    <w:name w:val="caption"/>
    <w:basedOn w:val="Normal"/>
    <w:next w:val="Normal"/>
    <w:qFormat/>
    <w:rsid w:val="0008218E"/>
    <w:pPr>
      <w:spacing w:after="240"/>
      <w:jc w:val="center"/>
    </w:pPr>
    <w:rPr>
      <w:b/>
      <w:i/>
      <w:szCs w:val="20"/>
      <w:lang w:val="en-AU"/>
    </w:rPr>
  </w:style>
  <w:style w:type="paragraph" w:styleId="EndnoteText">
    <w:name w:val="endnote text"/>
    <w:basedOn w:val="Normal"/>
    <w:semiHidden/>
    <w:rsid w:val="0008218E"/>
    <w:pPr>
      <w:widowControl w:val="0"/>
      <w:spacing w:after="0"/>
    </w:pPr>
    <w:rPr>
      <w:szCs w:val="20"/>
      <w:lang w:val="en-GB"/>
    </w:rPr>
  </w:style>
  <w:style w:type="character" w:styleId="FollowedHyperlink">
    <w:name w:val="FollowedHyperlink"/>
    <w:rsid w:val="0008218E"/>
    <w:rPr>
      <w:color w:val="800080"/>
      <w:u w:val="single"/>
    </w:rPr>
  </w:style>
  <w:style w:type="paragraph" w:styleId="Footer">
    <w:name w:val="footer"/>
    <w:basedOn w:val="Normal"/>
    <w:rsid w:val="000821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8218E"/>
    <w:pPr>
      <w:tabs>
        <w:tab w:val="center" w:pos="4320"/>
        <w:tab w:val="right" w:pos="8640"/>
      </w:tabs>
    </w:pPr>
  </w:style>
  <w:style w:type="paragraph" w:customStyle="1" w:styleId="Heading1a">
    <w:name w:val="Heading 1a"/>
    <w:basedOn w:val="Heading1"/>
    <w:rsid w:val="0008218E"/>
    <w:pPr>
      <w:pBdr>
        <w:top w:val="threeDEmboss" w:sz="24" w:space="12" w:color="auto"/>
        <w:left w:val="threeDEmboss" w:sz="24" w:space="4" w:color="auto"/>
        <w:bottom w:val="threeDEngrave" w:sz="24" w:space="12" w:color="auto"/>
        <w:right w:val="threeDEngrave" w:sz="24" w:space="4" w:color="auto"/>
      </w:pBdr>
    </w:pPr>
    <w:rPr>
      <w:rFonts w:cs="Times New Roman"/>
      <w:szCs w:val="20"/>
    </w:rPr>
  </w:style>
  <w:style w:type="paragraph" w:customStyle="1" w:styleId="Heading1a1">
    <w:name w:val="Heading 1a1"/>
    <w:basedOn w:val="Heading1"/>
    <w:rsid w:val="0008218E"/>
    <w:pPr>
      <w:pBdr>
        <w:top w:val="threeDEmboss" w:sz="24" w:space="6" w:color="auto"/>
        <w:left w:val="threeDEmboss" w:sz="24" w:space="4" w:color="auto"/>
        <w:bottom w:val="threeDEngrave" w:sz="24" w:space="6" w:color="auto"/>
        <w:right w:val="threeDEngrave" w:sz="2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</w:pPr>
    <w:rPr>
      <w:rFonts w:cs="Times New Roman"/>
      <w:szCs w:val="20"/>
      <w:lang w:val="en-AU"/>
    </w:rPr>
  </w:style>
  <w:style w:type="character" w:customStyle="1" w:styleId="Heading3Char">
    <w:name w:val="Heading 3 Char"/>
    <w:link w:val="Heading3"/>
    <w:rsid w:val="0008218E"/>
    <w:rPr>
      <w:rFonts w:cs="Arial"/>
      <w:bCs/>
      <w:i/>
      <w:sz w:val="24"/>
      <w:szCs w:val="26"/>
      <w:u w:val="single"/>
      <w:lang w:val="en-US" w:eastAsia="en-US" w:bidi="ar-SA"/>
    </w:rPr>
  </w:style>
  <w:style w:type="character" w:styleId="Hyperlink">
    <w:name w:val="Hyperlink"/>
    <w:rsid w:val="0008218E"/>
    <w:rPr>
      <w:color w:val="0000FF"/>
      <w:u w:val="single"/>
    </w:rPr>
  </w:style>
  <w:style w:type="paragraph" w:customStyle="1" w:styleId="Noindent">
    <w:name w:val="Noindent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jc w:val="both"/>
    </w:pPr>
    <w:rPr>
      <w:szCs w:val="20"/>
      <w:lang w:val="en-AU"/>
    </w:rPr>
  </w:style>
  <w:style w:type="paragraph" w:customStyle="1" w:styleId="Noindent1">
    <w:name w:val="Noindent1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after="0"/>
      <w:jc w:val="both"/>
    </w:pPr>
    <w:rPr>
      <w:szCs w:val="20"/>
      <w:lang w:val="en-AU"/>
    </w:rPr>
  </w:style>
  <w:style w:type="paragraph" w:styleId="NormalIndent">
    <w:name w:val="Normal Indent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ind w:left="720"/>
      <w:jc w:val="both"/>
    </w:pPr>
    <w:rPr>
      <w:szCs w:val="20"/>
      <w:lang w:val="en-AU"/>
    </w:rPr>
  </w:style>
  <w:style w:type="character" w:styleId="PageNumber">
    <w:name w:val="page number"/>
    <w:basedOn w:val="DefaultParagraphFont"/>
    <w:rsid w:val="0008218E"/>
  </w:style>
  <w:style w:type="paragraph" w:customStyle="1" w:styleId="Question">
    <w:name w:val="Question"/>
    <w:basedOn w:val="Normal"/>
    <w:rsid w:val="000821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after="0"/>
      <w:ind w:left="567" w:hanging="567"/>
      <w:jc w:val="both"/>
    </w:pPr>
    <w:rPr>
      <w:szCs w:val="20"/>
      <w:lang w:val="en-AU"/>
    </w:rPr>
  </w:style>
  <w:style w:type="paragraph" w:customStyle="1" w:styleId="StyleHeading2Left0cmFirstline0cm">
    <w:name w:val="Style Heading 2 + Left:  0 cm First line:  0 cm"/>
    <w:basedOn w:val="Heading2"/>
    <w:rsid w:val="0008218E"/>
    <w:pPr>
      <w:numPr>
        <w:ilvl w:val="0"/>
        <w:numId w:val="0"/>
      </w:numPr>
      <w:spacing w:before="300"/>
    </w:pPr>
    <w:rPr>
      <w:rFonts w:cs="Times New Roman"/>
      <w:szCs w:val="20"/>
    </w:rPr>
  </w:style>
  <w:style w:type="table" w:styleId="TableGrid">
    <w:name w:val="Table Grid"/>
    <w:basedOn w:val="TableNormal"/>
    <w:rsid w:val="00082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08218E"/>
    <w:pPr>
      <w:spacing w:after="0"/>
      <w:jc w:val="center"/>
    </w:pPr>
    <w:rPr>
      <w:b/>
      <w:szCs w:val="20"/>
    </w:rPr>
  </w:style>
  <w:style w:type="paragraph" w:styleId="TOC1">
    <w:name w:val="toc 1"/>
    <w:basedOn w:val="Normal"/>
    <w:next w:val="Normal"/>
    <w:autoRedefine/>
    <w:semiHidden/>
    <w:rsid w:val="0008218E"/>
    <w:pPr>
      <w:tabs>
        <w:tab w:val="left" w:pos="1701"/>
        <w:tab w:val="right" w:leader="dot" w:pos="9323"/>
      </w:tabs>
      <w:ind w:left="1701" w:hanging="1701"/>
    </w:pPr>
  </w:style>
  <w:style w:type="paragraph" w:styleId="TOC2">
    <w:name w:val="toc 2"/>
    <w:basedOn w:val="Normal"/>
    <w:next w:val="Normal"/>
    <w:autoRedefine/>
    <w:semiHidden/>
    <w:rsid w:val="0008218E"/>
    <w:pPr>
      <w:ind w:left="240"/>
    </w:pPr>
  </w:style>
  <w:style w:type="paragraph" w:styleId="TOC3">
    <w:name w:val="toc 3"/>
    <w:basedOn w:val="Normal"/>
    <w:next w:val="Normal"/>
    <w:autoRedefine/>
    <w:semiHidden/>
    <w:rsid w:val="0008218E"/>
    <w:pPr>
      <w:ind w:left="480"/>
    </w:pPr>
  </w:style>
  <w:style w:type="paragraph" w:styleId="TOC4">
    <w:name w:val="toc 4"/>
    <w:basedOn w:val="Normal"/>
    <w:next w:val="Normal"/>
    <w:autoRedefine/>
    <w:semiHidden/>
    <w:rsid w:val="0008218E"/>
    <w:pPr>
      <w:spacing w:after="0"/>
      <w:ind w:left="720"/>
    </w:pPr>
    <w:rPr>
      <w:sz w:val="20"/>
      <w:szCs w:val="20"/>
      <w:lang w:val="en-AU"/>
    </w:rPr>
  </w:style>
  <w:style w:type="paragraph" w:styleId="TOC5">
    <w:name w:val="toc 5"/>
    <w:basedOn w:val="Normal"/>
    <w:next w:val="Normal"/>
    <w:autoRedefine/>
    <w:semiHidden/>
    <w:rsid w:val="0008218E"/>
    <w:pPr>
      <w:spacing w:after="0"/>
      <w:ind w:left="960"/>
    </w:pPr>
    <w:rPr>
      <w:sz w:val="20"/>
      <w:szCs w:val="20"/>
      <w:lang w:val="en-AU"/>
    </w:rPr>
  </w:style>
  <w:style w:type="paragraph" w:styleId="TOC6">
    <w:name w:val="toc 6"/>
    <w:basedOn w:val="Normal"/>
    <w:next w:val="Normal"/>
    <w:autoRedefine/>
    <w:semiHidden/>
    <w:rsid w:val="0008218E"/>
    <w:pPr>
      <w:spacing w:after="0"/>
      <w:ind w:left="1200"/>
    </w:pPr>
    <w:rPr>
      <w:sz w:val="20"/>
      <w:szCs w:val="20"/>
      <w:lang w:val="en-AU"/>
    </w:rPr>
  </w:style>
  <w:style w:type="paragraph" w:styleId="TOC7">
    <w:name w:val="toc 7"/>
    <w:basedOn w:val="Normal"/>
    <w:next w:val="Normal"/>
    <w:autoRedefine/>
    <w:semiHidden/>
    <w:rsid w:val="0008218E"/>
    <w:pPr>
      <w:spacing w:after="0"/>
      <w:ind w:left="1440"/>
    </w:pPr>
    <w:rPr>
      <w:sz w:val="20"/>
      <w:szCs w:val="20"/>
      <w:lang w:val="en-AU"/>
    </w:rPr>
  </w:style>
  <w:style w:type="paragraph" w:styleId="TOC8">
    <w:name w:val="toc 8"/>
    <w:basedOn w:val="Normal"/>
    <w:next w:val="Normal"/>
    <w:autoRedefine/>
    <w:semiHidden/>
    <w:rsid w:val="0008218E"/>
    <w:pPr>
      <w:spacing w:after="0"/>
      <w:ind w:left="1680"/>
    </w:pPr>
    <w:rPr>
      <w:sz w:val="20"/>
      <w:szCs w:val="20"/>
      <w:lang w:val="en-AU"/>
    </w:rPr>
  </w:style>
  <w:style w:type="paragraph" w:styleId="TOC9">
    <w:name w:val="toc 9"/>
    <w:basedOn w:val="Normal"/>
    <w:next w:val="Normal"/>
    <w:autoRedefine/>
    <w:semiHidden/>
    <w:rsid w:val="0008218E"/>
    <w:pPr>
      <w:spacing w:after="0"/>
      <w:ind w:left="1920"/>
    </w:pPr>
    <w:rPr>
      <w:sz w:val="20"/>
      <w:szCs w:val="20"/>
      <w:lang w:val="en-AU"/>
    </w:rPr>
  </w:style>
  <w:style w:type="paragraph" w:styleId="DocumentMap">
    <w:name w:val="Document Map"/>
    <w:basedOn w:val="Normal"/>
    <w:semiHidden/>
    <w:rsid w:val="00B9300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64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202 Laboratory report</vt:lpstr>
    </vt:vector>
  </TitlesOfParts>
  <Company>University of Otago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202 Laboratory report</dc:title>
  <dc:subject/>
  <dc:creator>Steve Marsh</dc:creator>
  <cp:keywords/>
  <dc:description/>
  <cp:lastModifiedBy>Harry Stanley</cp:lastModifiedBy>
  <cp:revision>6</cp:revision>
  <cp:lastPrinted>2025-05-07T07:51:00Z</cp:lastPrinted>
  <dcterms:created xsi:type="dcterms:W3CDTF">2025-04-26T03:23:00Z</dcterms:created>
  <dcterms:modified xsi:type="dcterms:W3CDTF">2025-05-07T10:47:00Z</dcterms:modified>
</cp:coreProperties>
</file>