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6" w:type="dxa"/>
        <w:tblLook w:val="01E0" w:firstRow="1" w:lastRow="1" w:firstColumn="1" w:lastColumn="1" w:noHBand="0" w:noVBand="0"/>
      </w:tblPr>
      <w:tblGrid>
        <w:gridCol w:w="2034"/>
        <w:gridCol w:w="2185"/>
        <w:gridCol w:w="1251"/>
        <w:gridCol w:w="1251"/>
        <w:gridCol w:w="3285"/>
      </w:tblGrid>
      <w:tr w:rsidR="00374373" w:rsidRPr="00FC70F7" w14:paraId="030A8F80" w14:textId="77777777" w:rsidTr="00E379F7">
        <w:tc>
          <w:tcPr>
            <w:tcW w:w="4219" w:type="dxa"/>
            <w:gridSpan w:val="2"/>
            <w:vAlign w:val="bottom"/>
          </w:tcPr>
          <w:p w14:paraId="329DE942" w14:textId="77777777" w:rsidR="00374373" w:rsidRPr="00FC70F7" w:rsidRDefault="00374373" w:rsidP="00E379F7">
            <w:pPr>
              <w:spacing w:before="120" w:after="0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CHEM202 LABORATORY REPORT</w:t>
            </w:r>
          </w:p>
        </w:tc>
        <w:tc>
          <w:tcPr>
            <w:tcW w:w="2502" w:type="dxa"/>
            <w:gridSpan w:val="2"/>
            <w:vAlign w:val="center"/>
          </w:tcPr>
          <w:p w14:paraId="6F0A5999" w14:textId="77777777" w:rsidR="00374373" w:rsidRPr="00FC70F7" w:rsidRDefault="00374373" w:rsidP="00E379F7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Name:</w:t>
            </w:r>
          </w:p>
        </w:tc>
        <w:tc>
          <w:tcPr>
            <w:tcW w:w="3285" w:type="dxa"/>
            <w:shd w:val="clear" w:color="auto" w:fill="auto"/>
            <w:vAlign w:val="bottom"/>
          </w:tcPr>
          <w:p w14:paraId="7B1C2D80" w14:textId="77777777" w:rsidR="00374373" w:rsidRPr="00FC70F7" w:rsidRDefault="00374373" w:rsidP="00E379F7">
            <w:pPr>
              <w:spacing w:before="120" w:after="0"/>
              <w:rPr>
                <w:lang w:val="en-NZ"/>
              </w:rPr>
            </w:pPr>
            <w:r w:rsidRPr="00FC70F7">
              <w:rPr>
                <w:lang w:val="en-NZ"/>
              </w:rPr>
              <w:t>Harry Stanley</w:t>
            </w:r>
          </w:p>
        </w:tc>
      </w:tr>
      <w:tr w:rsidR="00374373" w:rsidRPr="00FC70F7" w14:paraId="33F90A0B" w14:textId="77777777" w:rsidTr="00E379F7">
        <w:tc>
          <w:tcPr>
            <w:tcW w:w="2034" w:type="dxa"/>
            <w:vAlign w:val="bottom"/>
          </w:tcPr>
          <w:p w14:paraId="472FC8B0" w14:textId="259D3513" w:rsidR="00374373" w:rsidRPr="00FC70F7" w:rsidRDefault="00374373" w:rsidP="00E379F7">
            <w:pPr>
              <w:spacing w:before="120" w:after="0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 xml:space="preserve">Experiment </w:t>
            </w:r>
            <w:r>
              <w:rPr>
                <w:b/>
                <w:lang w:val="en-NZ"/>
              </w:rPr>
              <w:t>5</w:t>
            </w:r>
          </w:p>
        </w:tc>
        <w:tc>
          <w:tcPr>
            <w:tcW w:w="2185" w:type="dxa"/>
            <w:vAlign w:val="bottom"/>
          </w:tcPr>
          <w:p w14:paraId="0F32E1B5" w14:textId="77777777" w:rsidR="00374373" w:rsidRPr="00FC70F7" w:rsidRDefault="00374373" w:rsidP="00E379F7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Lab Day:</w:t>
            </w:r>
          </w:p>
        </w:tc>
        <w:tc>
          <w:tcPr>
            <w:tcW w:w="1251" w:type="dxa"/>
            <w:vAlign w:val="center"/>
          </w:tcPr>
          <w:p w14:paraId="2E099819" w14:textId="77777777" w:rsidR="00374373" w:rsidRPr="00FC70F7" w:rsidRDefault="00374373" w:rsidP="00E379F7">
            <w:pPr>
              <w:spacing w:before="120" w:after="0"/>
              <w:jc w:val="right"/>
              <w:rPr>
                <w:b/>
                <w:lang w:val="en-NZ"/>
              </w:rPr>
            </w:pPr>
            <w:r>
              <w:rPr>
                <w:b/>
                <w:lang w:val="en-NZ"/>
              </w:rPr>
              <w:t>Thursday</w:t>
            </w:r>
          </w:p>
        </w:tc>
        <w:tc>
          <w:tcPr>
            <w:tcW w:w="1251" w:type="dxa"/>
            <w:vAlign w:val="center"/>
          </w:tcPr>
          <w:p w14:paraId="411CCB87" w14:textId="77777777" w:rsidR="00374373" w:rsidRPr="00FC70F7" w:rsidRDefault="00374373" w:rsidP="00E379F7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Date:</w:t>
            </w:r>
          </w:p>
        </w:tc>
        <w:tc>
          <w:tcPr>
            <w:tcW w:w="3285" w:type="dxa"/>
            <w:shd w:val="clear" w:color="auto" w:fill="auto"/>
            <w:vAlign w:val="bottom"/>
          </w:tcPr>
          <w:p w14:paraId="08B8C8B9" w14:textId="5AF3092D" w:rsidR="00374373" w:rsidRPr="00FC70F7" w:rsidRDefault="00374373" w:rsidP="00E379F7">
            <w:pPr>
              <w:spacing w:before="120" w:after="0"/>
              <w:rPr>
                <w:lang w:val="en-NZ"/>
              </w:rPr>
            </w:pPr>
            <w:r>
              <w:rPr>
                <w:b/>
                <w:lang w:val="en-NZ"/>
              </w:rPr>
              <w:t>17</w:t>
            </w:r>
            <w:r w:rsidRPr="00FC70F7">
              <w:rPr>
                <w:b/>
                <w:lang w:val="en-NZ"/>
              </w:rPr>
              <w:t>/04/25</w:t>
            </w:r>
          </w:p>
        </w:tc>
      </w:tr>
    </w:tbl>
    <w:p w14:paraId="7403219C" w14:textId="77777777" w:rsidR="00374373" w:rsidRPr="00FC70F7" w:rsidRDefault="00374373" w:rsidP="00374373">
      <w:pPr>
        <w:spacing w:before="240" w:after="240"/>
        <w:outlineLvl w:val="0"/>
        <w:rPr>
          <w:b/>
          <w:i/>
          <w:sz w:val="28"/>
          <w:szCs w:val="28"/>
          <w:u w:val="single"/>
          <w:lang w:val="en-NZ"/>
        </w:rPr>
      </w:pPr>
      <w:r>
        <w:rPr>
          <w:b/>
          <w:i/>
          <w:sz w:val="28"/>
          <w:szCs w:val="28"/>
          <w:u w:val="single"/>
          <w:lang w:val="en-NZ"/>
        </w:rPr>
        <w:t>Synthesis of a substituted quinoline</w:t>
      </w:r>
    </w:p>
    <w:p w14:paraId="372D40CE" w14:textId="77777777" w:rsidR="00374373" w:rsidRDefault="00374373" w:rsidP="00374373">
      <w:pPr>
        <w:rPr>
          <w:b/>
          <w:u w:val="single"/>
          <w:lang w:val="en-NZ"/>
        </w:rPr>
      </w:pPr>
      <w:r w:rsidRPr="00FC70F7">
        <w:rPr>
          <w:b/>
          <w:u w:val="single"/>
          <w:lang w:val="en-NZ"/>
        </w:rPr>
        <w:t>Abstract</w:t>
      </w:r>
    </w:p>
    <w:p w14:paraId="4DC0900F" w14:textId="65DD6EB5" w:rsidR="00374373" w:rsidRDefault="00FD7C56" w:rsidP="00374373">
      <w:pPr>
        <w:rPr>
          <w:bCs/>
          <w:lang w:val="en-NZ"/>
        </w:rPr>
      </w:pPr>
      <w:r>
        <w:rPr>
          <w:bCs/>
          <w:lang w:val="en-NZ"/>
        </w:rPr>
        <w:t>A Grignard reagent was prepared by refluxing benzyl chloride</w:t>
      </w:r>
      <w:r w:rsidR="004F317C">
        <w:rPr>
          <w:bCs/>
          <w:lang w:val="en-NZ"/>
        </w:rPr>
        <w:t>(I)</w:t>
      </w:r>
      <w:r>
        <w:rPr>
          <w:bCs/>
          <w:lang w:val="en-NZ"/>
        </w:rPr>
        <w:t xml:space="preserve"> with magnesium turning in dry ethyl ether under anhydrous conditions. After initiation with iodine, benzylmagnesium chloride</w:t>
      </w:r>
      <w:r w:rsidR="004F317C">
        <w:rPr>
          <w:bCs/>
          <w:lang w:val="en-NZ"/>
        </w:rPr>
        <w:t xml:space="preserve"> (II)</w:t>
      </w:r>
      <w:r>
        <w:rPr>
          <w:bCs/>
          <w:lang w:val="en-NZ"/>
        </w:rPr>
        <w:t xml:space="preserve"> was </w:t>
      </w:r>
      <w:r w:rsidR="00DA1AC4">
        <w:rPr>
          <w:bCs/>
          <w:lang w:val="en-NZ"/>
        </w:rPr>
        <w:t>formed and reacted pentan-3-one</w:t>
      </w:r>
      <w:r w:rsidR="004F317C">
        <w:rPr>
          <w:bCs/>
          <w:lang w:val="en-NZ"/>
        </w:rPr>
        <w:t xml:space="preserve"> (III)</w:t>
      </w:r>
      <w:r w:rsidR="00DA1AC4">
        <w:rPr>
          <w:bCs/>
          <w:lang w:val="en-NZ"/>
        </w:rPr>
        <w:t xml:space="preserve"> to give a tertiary alcohol 3 benzylpentan-3-ol</w:t>
      </w:r>
      <w:r w:rsidR="004F317C">
        <w:rPr>
          <w:bCs/>
          <w:lang w:val="en-NZ"/>
        </w:rPr>
        <w:t xml:space="preserve"> (IV)</w:t>
      </w:r>
      <w:r w:rsidR="00DA1AC4">
        <w:rPr>
          <w:bCs/>
          <w:lang w:val="en-NZ"/>
        </w:rPr>
        <w:t>. The crude alcohol was purified by vacuum distillation (b.p. 1</w:t>
      </w:r>
      <w:r w:rsidR="008C481F">
        <w:rPr>
          <w:bCs/>
          <w:lang w:val="en-NZ"/>
        </w:rPr>
        <w:t>10</w:t>
      </w:r>
      <w:r w:rsidR="00DA1AC4">
        <w:rPr>
          <w:bCs/>
          <w:lang w:val="en-NZ"/>
        </w:rPr>
        <w:t xml:space="preserve"> </w:t>
      </w:r>
      <w:r w:rsidR="00DA1AC4">
        <w:rPr>
          <w:bCs/>
          <w:vertAlign w:val="superscript"/>
          <w:lang w:val="en-NZ"/>
        </w:rPr>
        <w:t>o</w:t>
      </w:r>
      <w:r w:rsidR="00DA1AC4">
        <w:rPr>
          <w:bCs/>
          <w:lang w:val="en-NZ"/>
        </w:rPr>
        <w:t xml:space="preserve">C, </w:t>
      </w:r>
      <w:r w:rsidR="008C481F">
        <w:rPr>
          <w:bCs/>
          <w:lang w:val="en-NZ"/>
        </w:rPr>
        <w:t xml:space="preserve">40 </w:t>
      </w:r>
      <w:proofErr w:type="spellStart"/>
      <w:r w:rsidR="008C481F">
        <w:rPr>
          <w:bCs/>
          <w:lang w:val="en-NZ"/>
        </w:rPr>
        <w:t>mbdr</w:t>
      </w:r>
      <w:proofErr w:type="spellEnd"/>
      <w:r w:rsidR="00DA1AC4">
        <w:rPr>
          <w:bCs/>
          <w:lang w:val="en-NZ"/>
        </w:rPr>
        <w:t>)</w:t>
      </w:r>
      <w:r w:rsidR="004F317C">
        <w:rPr>
          <w:bCs/>
          <w:lang w:val="en-NZ"/>
        </w:rPr>
        <w:t xml:space="preserve"> to yield 4.683 g of (IV) (39.7 % yield). IR spectroscopy showed complete disappearance of the carbonyl band (</w:t>
      </w:r>
      <w:r w:rsidR="00382B9E">
        <w:rPr>
          <w:bCs/>
          <w:lang w:val="en-NZ"/>
        </w:rPr>
        <w:t>1712 cm</w:t>
      </w:r>
      <w:r w:rsidR="00382B9E">
        <w:rPr>
          <w:bCs/>
          <w:vertAlign w:val="superscript"/>
          <w:lang w:val="en-NZ"/>
        </w:rPr>
        <w:t>-1</w:t>
      </w:r>
      <w:proofErr w:type="gramStart"/>
      <w:r w:rsidR="004F317C">
        <w:rPr>
          <w:bCs/>
          <w:lang w:val="en-NZ"/>
        </w:rPr>
        <w:t>)</w:t>
      </w:r>
      <w:proofErr w:type="gramEnd"/>
      <w:r w:rsidR="004F317C">
        <w:rPr>
          <w:bCs/>
          <w:lang w:val="en-NZ"/>
        </w:rPr>
        <w:t xml:space="preserve"> and the appearance of a broad O-H stretch </w:t>
      </w:r>
      <w:r w:rsidR="00382B9E">
        <w:rPr>
          <w:bCs/>
          <w:lang w:val="en-NZ"/>
        </w:rPr>
        <w:t>showed</w:t>
      </w:r>
      <w:r w:rsidR="004F317C">
        <w:rPr>
          <w:bCs/>
          <w:lang w:val="en-NZ"/>
        </w:rPr>
        <w:t xml:space="preserve"> at </w:t>
      </w:r>
      <w:r w:rsidR="00382B9E">
        <w:rPr>
          <w:bCs/>
          <w:lang w:val="en-NZ"/>
        </w:rPr>
        <w:t>3425 cm</w:t>
      </w:r>
      <w:r w:rsidR="00382B9E">
        <w:rPr>
          <w:bCs/>
          <w:vertAlign w:val="superscript"/>
          <w:lang w:val="en-NZ"/>
        </w:rPr>
        <w:t>-1</w:t>
      </w:r>
      <w:r w:rsidR="00382B9E">
        <w:rPr>
          <w:bCs/>
          <w:lang w:val="en-NZ"/>
        </w:rPr>
        <w:t xml:space="preserve">. Full </w:t>
      </w:r>
      <w:r w:rsidR="00382B9E">
        <w:rPr>
          <w:bCs/>
          <w:vertAlign w:val="superscript"/>
          <w:lang w:val="en-NZ"/>
        </w:rPr>
        <w:t>1</w:t>
      </w:r>
      <w:r w:rsidR="00382B9E">
        <w:rPr>
          <w:bCs/>
          <w:lang w:val="en-NZ"/>
        </w:rPr>
        <w:t xml:space="preserve">H and </w:t>
      </w:r>
      <w:r w:rsidR="00382B9E">
        <w:rPr>
          <w:bCs/>
          <w:vertAlign w:val="superscript"/>
          <w:lang w:val="en-NZ"/>
        </w:rPr>
        <w:t>13</w:t>
      </w:r>
      <w:r w:rsidR="00382B9E">
        <w:rPr>
          <w:bCs/>
          <w:lang w:val="en-NZ"/>
        </w:rPr>
        <w:t>C NMR characterisation (including COSY, HECTOR, DEPT) allowed unambiguous assignment of all resonance, confirming the structure of (IV)</w:t>
      </w:r>
    </w:p>
    <w:p w14:paraId="653105CD" w14:textId="77777777" w:rsidR="00382B9E" w:rsidRDefault="00382B9E" w:rsidP="00374373">
      <w:pPr>
        <w:rPr>
          <w:bCs/>
          <w:lang w:val="en-NZ"/>
        </w:rPr>
      </w:pPr>
    </w:p>
    <w:p w14:paraId="54E1B3C3" w14:textId="7C4C363F" w:rsidR="00E46A54" w:rsidRPr="00A831BD" w:rsidRDefault="00A831BD" w:rsidP="00A831BD">
      <w:pPr>
        <w:rPr>
          <w:bCs/>
          <w:lang w:val="en-NZ"/>
        </w:rPr>
      </w:pPr>
      <w:r>
        <w:rPr>
          <w:noProof/>
        </w:rPr>
        <w:object w:dxaOrig="1440" w:dyaOrig="1440" w14:anchorId="46D8D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pt;margin-top:105.8pt;width:498.1pt;height:355.9pt;z-index:251659264;mso-position-horizontal-relative:text;mso-position-vertical-relative:text">
            <v:imagedata r:id="rId4" o:title=""/>
            <w10:wrap type="square"/>
          </v:shape>
          <o:OLEObject Type="Embed" ProgID="ChemDraw_x64.Document.6.0" ShapeID="_x0000_s1031" DrawAspect="Content" ObjectID="_1809466805" r:id="rId5"/>
        </w:object>
      </w:r>
      <w:r w:rsidR="00382B9E">
        <w:rPr>
          <w:bCs/>
          <w:lang w:val="en-NZ"/>
        </w:rPr>
        <w:t xml:space="preserve">Dehydration of (IV) was completed by </w:t>
      </w:r>
      <w:r w:rsidR="00A67C05">
        <w:rPr>
          <w:bCs/>
          <w:lang w:val="en-NZ"/>
        </w:rPr>
        <w:t xml:space="preserve">reacting our tertiary alcohol with orthophosphoric acid in a microwave reactor for 15 minutes to furnish a mixture of three alkenes in a combined yield of 50 % (0.7 g). Analysis of the </w:t>
      </w:r>
      <w:r w:rsidR="00A67C05">
        <w:rPr>
          <w:bCs/>
          <w:vertAlign w:val="superscript"/>
          <w:lang w:val="en-NZ"/>
        </w:rPr>
        <w:t>1</w:t>
      </w:r>
      <w:r w:rsidR="00A67C05">
        <w:rPr>
          <w:bCs/>
          <w:lang w:val="en-NZ"/>
        </w:rPr>
        <w:t xml:space="preserve">H NMR spectrum (integrals of olefinic vs benzylic signals) </w:t>
      </w:r>
      <w:proofErr w:type="gramStart"/>
      <w:r w:rsidR="00A67C05">
        <w:rPr>
          <w:bCs/>
          <w:lang w:val="en-NZ"/>
        </w:rPr>
        <w:t>have</w:t>
      </w:r>
      <w:proofErr w:type="gramEnd"/>
      <w:r w:rsidR="00A67C05">
        <w:rPr>
          <w:bCs/>
          <w:lang w:val="en-NZ"/>
        </w:rPr>
        <w:t xml:space="preserve"> a product ration of </w:t>
      </w:r>
      <w:r>
        <w:rPr>
          <w:bCs/>
          <w:lang w:val="en-NZ"/>
        </w:rPr>
        <w:t>1:1.10:1.03. NOESY experiment revealed key through-space cross-peaks that enabled assignment of E/Z geometry of the olefinic protons in each isomer. The observed chemical shift agreed with predicted values.</w:t>
      </w:r>
    </w:p>
    <w:p w14:paraId="3D32ACEC" w14:textId="33440E34" w:rsidR="00374373" w:rsidRPr="00FC70F7" w:rsidRDefault="00374373" w:rsidP="00374373">
      <w:pPr>
        <w:spacing w:before="240"/>
        <w:rPr>
          <w:b/>
          <w:u w:val="single"/>
          <w:lang w:val="en-NZ"/>
        </w:rPr>
      </w:pPr>
      <w:r w:rsidRPr="00FC70F7">
        <w:rPr>
          <w:b/>
          <w:u w:val="single"/>
          <w:lang w:val="en-NZ"/>
        </w:rPr>
        <w:lastRenderedPageBreak/>
        <w:t>Experimental</w:t>
      </w:r>
    </w:p>
    <w:p w14:paraId="5C20A3FD" w14:textId="599438D4" w:rsidR="00374373" w:rsidRDefault="00374373" w:rsidP="00374373">
      <w:pPr>
        <w:spacing w:after="240"/>
        <w:jc w:val="both"/>
        <w:rPr>
          <w:lang w:val="en-NZ"/>
        </w:rPr>
      </w:pPr>
      <w:r w:rsidRPr="00FC70F7">
        <w:rPr>
          <w:lang w:val="en-NZ"/>
        </w:rPr>
        <w:t>The experiment was performed as detailed in the CHEM202 laboratory manual (p</w:t>
      </w:r>
      <w:r>
        <w:rPr>
          <w:lang w:val="en-NZ"/>
        </w:rPr>
        <w:t>33</w:t>
      </w:r>
      <w:r w:rsidRPr="00FC70F7">
        <w:rPr>
          <w:lang w:val="en-NZ"/>
        </w:rPr>
        <w:t>), without modification. The accurate masses used of the reagents are detailed below.</w:t>
      </w:r>
    </w:p>
    <w:tbl>
      <w:tblPr>
        <w:tblW w:w="92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071"/>
        <w:gridCol w:w="1546"/>
        <w:gridCol w:w="1546"/>
        <w:gridCol w:w="1546"/>
      </w:tblGrid>
      <w:tr w:rsidR="00E5015F" w:rsidRPr="00FC70F7" w14:paraId="1148C300" w14:textId="77777777" w:rsidTr="00D8797D">
        <w:trPr>
          <w:trHeight w:val="707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818426B" w14:textId="77777777" w:rsidR="00E5015F" w:rsidRPr="00FC70F7" w:rsidRDefault="00E5015F" w:rsidP="00E379F7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Substance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vAlign w:val="center"/>
          </w:tcPr>
          <w:p w14:paraId="65B8E371" w14:textId="77777777" w:rsidR="00E5015F" w:rsidRPr="00FC70F7" w:rsidRDefault="00E5015F" w:rsidP="00E379F7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Formula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00FA5C24" w14:textId="77777777" w:rsidR="00E5015F" w:rsidRPr="00FC70F7" w:rsidRDefault="00E5015F" w:rsidP="00E379F7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M</w:t>
            </w:r>
            <w:r w:rsidRPr="00FC70F7">
              <w:rPr>
                <w:b/>
                <w:spacing w:val="-3"/>
                <w:vertAlign w:val="subscript"/>
                <w:lang w:val="en-GB"/>
              </w:rPr>
              <w:t>r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1FAD8EBF" w14:textId="77777777" w:rsidR="00E5015F" w:rsidRPr="00FC70F7" w:rsidRDefault="00E5015F" w:rsidP="00E379F7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mass</w:t>
            </w:r>
            <w:r w:rsidRPr="00FC70F7">
              <w:rPr>
                <w:b/>
                <w:spacing w:val="-3"/>
                <w:lang w:val="en-GB"/>
              </w:rPr>
              <w:br/>
              <w:t>(g)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6049FBAB" w14:textId="77777777" w:rsidR="00E5015F" w:rsidRPr="00FC70F7" w:rsidRDefault="00E5015F" w:rsidP="00E379F7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amount</w:t>
            </w:r>
            <w:r w:rsidRPr="00FC70F7">
              <w:rPr>
                <w:b/>
                <w:spacing w:val="-3"/>
                <w:lang w:val="en-GB"/>
              </w:rPr>
              <w:br/>
              <w:t>(mmol)</w:t>
            </w:r>
          </w:p>
        </w:tc>
      </w:tr>
      <w:tr w:rsidR="00E5015F" w:rsidRPr="00FC70F7" w14:paraId="6BDF5F65" w14:textId="77777777" w:rsidTr="00D8797D">
        <w:trPr>
          <w:trHeight w:val="406"/>
        </w:trPr>
        <w:tc>
          <w:tcPr>
            <w:tcW w:w="2552" w:type="dxa"/>
            <w:shd w:val="clear" w:color="auto" w:fill="auto"/>
            <w:vAlign w:val="center"/>
          </w:tcPr>
          <w:p w14:paraId="2F6D9A23" w14:textId="24DAA7CC" w:rsidR="00E5015F" w:rsidRPr="00FC70F7" w:rsidRDefault="00E5015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Magnesium turnings</w:t>
            </w:r>
          </w:p>
        </w:tc>
        <w:tc>
          <w:tcPr>
            <w:tcW w:w="2071" w:type="dxa"/>
            <w:shd w:val="clear" w:color="auto" w:fill="auto"/>
            <w:vAlign w:val="center"/>
          </w:tcPr>
          <w:p w14:paraId="1ABF00F7" w14:textId="52BB5C7F" w:rsidR="00E5015F" w:rsidRPr="008D48F5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Mg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C94CBD0" w14:textId="309B8216" w:rsidR="00E5015F" w:rsidRPr="00FC70F7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24.305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35BBA5C" w14:textId="5C5E11F0" w:rsidR="00E5015F" w:rsidRPr="00FC70F7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2.521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109466B" w14:textId="76AB88B0" w:rsidR="00E5015F" w:rsidRPr="00FC70F7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103.72</w:t>
            </w:r>
          </w:p>
        </w:tc>
      </w:tr>
      <w:tr w:rsidR="00E5015F" w:rsidRPr="00FC70F7" w14:paraId="693AA70C" w14:textId="77777777" w:rsidTr="00D8797D">
        <w:trPr>
          <w:trHeight w:val="406"/>
        </w:trPr>
        <w:tc>
          <w:tcPr>
            <w:tcW w:w="2552" w:type="dxa"/>
            <w:shd w:val="clear" w:color="auto" w:fill="auto"/>
            <w:vAlign w:val="center"/>
          </w:tcPr>
          <w:p w14:paraId="735B8E70" w14:textId="5BF91CFF" w:rsidR="00E5015F" w:rsidRPr="00FC70F7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Benzyl chloride</w:t>
            </w:r>
          </w:p>
        </w:tc>
        <w:tc>
          <w:tcPr>
            <w:tcW w:w="2071" w:type="dxa"/>
            <w:shd w:val="clear" w:color="auto" w:fill="auto"/>
            <w:vAlign w:val="center"/>
          </w:tcPr>
          <w:p w14:paraId="1A745C7F" w14:textId="1EA21F30" w:rsidR="00E5015F" w:rsidRPr="00D8797D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PhCH</w:t>
            </w:r>
            <w:r>
              <w:rPr>
                <w:spacing w:val="-3"/>
                <w:vertAlign w:val="subscript"/>
                <w:lang w:val="en-GB"/>
              </w:rPr>
              <w:t>2</w:t>
            </w:r>
            <w:r>
              <w:rPr>
                <w:spacing w:val="-3"/>
                <w:lang w:val="en-GB"/>
              </w:rPr>
              <w:t>Cl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D0D26B6" w14:textId="1C4F5F1A" w:rsidR="00E5015F" w:rsidRPr="00FC70F7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126.58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C930541" w14:textId="24E86841" w:rsidR="00E5015F" w:rsidRPr="00FC70F7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 w:rsidRPr="0066242A">
              <w:rPr>
                <w:spacing w:val="-3"/>
                <w:lang w:val="en-GB"/>
              </w:rPr>
              <w:t>12.65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F3D999B" w14:textId="7221A033" w:rsidR="00E5015F" w:rsidRPr="00FC70F7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99.94</w:t>
            </w:r>
          </w:p>
        </w:tc>
      </w:tr>
      <w:tr w:rsidR="00D8797D" w:rsidRPr="00FC70F7" w14:paraId="1659000B" w14:textId="77777777" w:rsidTr="00D8797D">
        <w:trPr>
          <w:trHeight w:val="406"/>
        </w:trPr>
        <w:tc>
          <w:tcPr>
            <w:tcW w:w="2552" w:type="dxa"/>
            <w:shd w:val="clear" w:color="auto" w:fill="auto"/>
            <w:vAlign w:val="center"/>
          </w:tcPr>
          <w:p w14:paraId="3A33E1C4" w14:textId="77950B97" w:rsidR="00D8797D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Pentan-3-one</w:t>
            </w:r>
          </w:p>
        </w:tc>
        <w:tc>
          <w:tcPr>
            <w:tcW w:w="2071" w:type="dxa"/>
            <w:shd w:val="clear" w:color="auto" w:fill="auto"/>
            <w:vAlign w:val="center"/>
          </w:tcPr>
          <w:p w14:paraId="7368E88D" w14:textId="2E314F9C" w:rsidR="00D8797D" w:rsidRPr="00B63CD3" w:rsidRDefault="00B63CD3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C</w:t>
            </w:r>
            <w:r>
              <w:rPr>
                <w:spacing w:val="-3"/>
                <w:vertAlign w:val="subscript"/>
                <w:lang w:val="en-GB"/>
              </w:rPr>
              <w:t>5</w:t>
            </w:r>
            <w:r>
              <w:rPr>
                <w:spacing w:val="-3"/>
                <w:lang w:val="en-GB"/>
              </w:rPr>
              <w:t>H</w:t>
            </w:r>
            <w:r>
              <w:rPr>
                <w:spacing w:val="-3"/>
                <w:vertAlign w:val="subscript"/>
                <w:lang w:val="en-GB"/>
              </w:rPr>
              <w:t>10</w:t>
            </w:r>
            <w:r>
              <w:rPr>
                <w:spacing w:val="-3"/>
                <w:lang w:val="en-GB"/>
              </w:rPr>
              <w:t>O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AAE6CF3" w14:textId="63A0F6A8" w:rsidR="00D8797D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86.1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0966658" w14:textId="54969F34" w:rsidR="00D8797D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5.70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4E0FD10" w14:textId="21943BFF" w:rsidR="00D8797D" w:rsidRPr="00C76491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66.20</w:t>
            </w:r>
          </w:p>
        </w:tc>
      </w:tr>
      <w:tr w:rsidR="00D8797D" w:rsidRPr="00FC70F7" w14:paraId="12853489" w14:textId="77777777" w:rsidTr="00D8797D">
        <w:trPr>
          <w:trHeight w:val="406"/>
        </w:trPr>
        <w:tc>
          <w:tcPr>
            <w:tcW w:w="2552" w:type="dxa"/>
            <w:shd w:val="clear" w:color="auto" w:fill="auto"/>
            <w:vAlign w:val="center"/>
          </w:tcPr>
          <w:p w14:paraId="6BB02D0A" w14:textId="25ACF6CF" w:rsidR="00D8797D" w:rsidRDefault="00D8797D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Orthophosphoric acid</w:t>
            </w:r>
          </w:p>
        </w:tc>
        <w:tc>
          <w:tcPr>
            <w:tcW w:w="2071" w:type="dxa"/>
            <w:shd w:val="clear" w:color="auto" w:fill="auto"/>
            <w:vAlign w:val="center"/>
          </w:tcPr>
          <w:p w14:paraId="60BCC726" w14:textId="597280D7" w:rsidR="00D8797D" w:rsidRPr="00D8797D" w:rsidRDefault="00D8797D" w:rsidP="00E379F7">
            <w:pPr>
              <w:spacing w:before="60" w:after="60"/>
              <w:jc w:val="center"/>
              <w:rPr>
                <w:spacing w:val="-3"/>
                <w:vertAlign w:val="subscript"/>
                <w:lang w:val="en-GB"/>
              </w:rPr>
            </w:pPr>
            <w:r>
              <w:rPr>
                <w:spacing w:val="-3"/>
                <w:lang w:val="en-GB"/>
              </w:rPr>
              <w:t>H</w:t>
            </w:r>
            <w:r>
              <w:rPr>
                <w:spacing w:val="-3"/>
                <w:vertAlign w:val="subscript"/>
                <w:lang w:val="en-GB"/>
              </w:rPr>
              <w:t>3</w:t>
            </w:r>
            <w:r>
              <w:rPr>
                <w:spacing w:val="-3"/>
                <w:lang w:val="en-GB"/>
              </w:rPr>
              <w:t>PO</w:t>
            </w:r>
            <w:r>
              <w:rPr>
                <w:spacing w:val="-3"/>
                <w:vertAlign w:val="subscript"/>
                <w:lang w:val="en-GB"/>
              </w:rPr>
              <w:t>4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4530FA03" w14:textId="2C06EF1A" w:rsidR="00D8797D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97.994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2F40C93" w14:textId="1B712692" w:rsidR="00D8797D" w:rsidRDefault="008A48A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 w:rsidRPr="008A48AF">
              <w:rPr>
                <w:spacing w:val="-3"/>
              </w:rPr>
              <w:t>3.79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79321D1" w14:textId="31BEFF6C" w:rsidR="00D8797D" w:rsidRPr="00C76491" w:rsidRDefault="0066242A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43.17</w:t>
            </w:r>
          </w:p>
        </w:tc>
      </w:tr>
      <w:tr w:rsidR="008A48AF" w:rsidRPr="00FC70F7" w14:paraId="262DE14A" w14:textId="77777777" w:rsidTr="00D8797D">
        <w:trPr>
          <w:trHeight w:val="406"/>
        </w:trPr>
        <w:tc>
          <w:tcPr>
            <w:tcW w:w="2552" w:type="dxa"/>
            <w:shd w:val="clear" w:color="auto" w:fill="auto"/>
            <w:vAlign w:val="center"/>
          </w:tcPr>
          <w:p w14:paraId="7C962257" w14:textId="56309857" w:rsidR="008A48AF" w:rsidRDefault="008A48A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3-benzylpentan-ol</w:t>
            </w:r>
          </w:p>
        </w:tc>
        <w:tc>
          <w:tcPr>
            <w:tcW w:w="2071" w:type="dxa"/>
            <w:shd w:val="clear" w:color="auto" w:fill="auto"/>
            <w:vAlign w:val="center"/>
          </w:tcPr>
          <w:p w14:paraId="26B058B8" w14:textId="2D593350" w:rsidR="008A48AF" w:rsidRPr="008A48AF" w:rsidRDefault="008A48A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C</w:t>
            </w:r>
            <w:r>
              <w:rPr>
                <w:spacing w:val="-3"/>
                <w:vertAlign w:val="subscript"/>
                <w:lang w:val="en-GB"/>
              </w:rPr>
              <w:t>12</w:t>
            </w:r>
            <w:r>
              <w:rPr>
                <w:spacing w:val="-3"/>
                <w:lang w:val="en-GB"/>
              </w:rPr>
              <w:t>H</w:t>
            </w:r>
            <w:r>
              <w:rPr>
                <w:spacing w:val="-3"/>
                <w:vertAlign w:val="subscript"/>
                <w:lang w:val="en-GB"/>
              </w:rPr>
              <w:t>18</w:t>
            </w:r>
            <w:r>
              <w:rPr>
                <w:spacing w:val="-3"/>
                <w:lang w:val="en-GB"/>
              </w:rPr>
              <w:t>O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6486116" w14:textId="24C09795" w:rsidR="008A48AF" w:rsidRDefault="008A48A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</w:rPr>
              <w:t>174.14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1C16574" w14:textId="36A4BB27" w:rsidR="008A48AF" w:rsidRPr="0066242A" w:rsidRDefault="008A48AF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1.512`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35DF286" w14:textId="1382FCC7" w:rsidR="008A48AF" w:rsidRDefault="002B77A3" w:rsidP="00E379F7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8.68</w:t>
            </w:r>
          </w:p>
        </w:tc>
      </w:tr>
    </w:tbl>
    <w:p w14:paraId="564E4260" w14:textId="1317F330" w:rsidR="004A3796" w:rsidRDefault="00A831BD" w:rsidP="00374373">
      <w:pPr>
        <w:jc w:val="both"/>
        <w:rPr>
          <w:bCs/>
          <w:lang w:val="en-NZ"/>
        </w:rPr>
      </w:pPr>
      <w:r>
        <w:rPr>
          <w:bCs/>
          <w:lang w:val="en-NZ"/>
        </w:rPr>
        <w:t>All reactions were carried out in a fume-hood to contain ether</w:t>
      </w:r>
      <w:r w:rsidR="008A205E">
        <w:rPr>
          <w:bCs/>
          <w:lang w:val="en-NZ"/>
        </w:rPr>
        <w:t xml:space="preserve"> and acid</w:t>
      </w:r>
      <w:r>
        <w:rPr>
          <w:bCs/>
          <w:lang w:val="en-NZ"/>
        </w:rPr>
        <w:t xml:space="preserve"> vapours. </w:t>
      </w:r>
      <w:r w:rsidR="008A205E">
        <w:rPr>
          <w:bCs/>
          <w:lang w:val="en-NZ"/>
        </w:rPr>
        <w:t>After the Grignard reaction the mixture was quenched by slow addition of ice-cold saturated NH</w:t>
      </w:r>
      <w:r w:rsidR="008A205E">
        <w:rPr>
          <w:bCs/>
          <w:vertAlign w:val="subscript"/>
          <w:lang w:val="en-NZ"/>
        </w:rPr>
        <w:t>4</w:t>
      </w:r>
      <w:r w:rsidR="008A205E">
        <w:rPr>
          <w:bCs/>
          <w:lang w:val="en-NZ"/>
        </w:rPr>
        <w:t>Cl, the aqueous layer was separated and washed down the fume-hood sink with</w:t>
      </w:r>
      <w:r w:rsidR="00A757D9">
        <w:rPr>
          <w:bCs/>
          <w:lang w:val="en-NZ"/>
        </w:rPr>
        <w:t xml:space="preserve"> </w:t>
      </w:r>
      <w:r w:rsidR="008A205E">
        <w:rPr>
          <w:bCs/>
          <w:lang w:val="en-NZ"/>
        </w:rPr>
        <w:t>excess water. The organic layer was dried over anhydrous MgSO</w:t>
      </w:r>
      <w:r w:rsidR="008A205E">
        <w:rPr>
          <w:bCs/>
          <w:vertAlign w:val="subscript"/>
          <w:lang w:val="en-NZ"/>
        </w:rPr>
        <w:t>4</w:t>
      </w:r>
      <w:r w:rsidR="008A205E">
        <w:rPr>
          <w:bCs/>
          <w:lang w:val="en-NZ"/>
        </w:rPr>
        <w:t>, the drying agent was filtered off and washed into the sink with water; diethyl ether was removed on the rotary evaporator.</w:t>
      </w:r>
      <w:r w:rsidR="00A757D9">
        <w:rPr>
          <w:bCs/>
          <w:lang w:val="en-NZ"/>
        </w:rPr>
        <w:t xml:space="preserve"> The final extracts were dried, filtered and stripped of solvent by </w:t>
      </w:r>
      <w:proofErr w:type="spellStart"/>
      <w:r w:rsidR="00A757D9">
        <w:rPr>
          <w:bCs/>
          <w:lang w:val="en-NZ"/>
        </w:rPr>
        <w:t>rotavap</w:t>
      </w:r>
      <w:proofErr w:type="spellEnd"/>
      <w:r w:rsidR="00A757D9">
        <w:rPr>
          <w:bCs/>
          <w:lang w:val="en-NZ"/>
        </w:rPr>
        <w:t>. Contaminated waste when in the contaminated waste bin.</w:t>
      </w:r>
    </w:p>
    <w:p w14:paraId="5DDB48A9" w14:textId="77777777" w:rsidR="00A757D9" w:rsidRPr="008A205E" w:rsidRDefault="00A757D9" w:rsidP="00374373">
      <w:pPr>
        <w:jc w:val="both"/>
        <w:rPr>
          <w:bCs/>
          <w:lang w:val="en-NZ"/>
        </w:rPr>
      </w:pPr>
    </w:p>
    <w:p w14:paraId="1ED19A9E" w14:textId="6712C64C" w:rsidR="00FA31EB" w:rsidRDefault="00374373" w:rsidP="00374373">
      <w:pPr>
        <w:jc w:val="both"/>
        <w:rPr>
          <w:b/>
          <w:u w:val="single"/>
          <w:lang w:val="en-NZ"/>
        </w:rPr>
      </w:pPr>
      <w:r w:rsidRPr="00FC70F7">
        <w:rPr>
          <w:b/>
          <w:u w:val="single"/>
          <w:lang w:val="en-NZ"/>
        </w:rPr>
        <w:t>Results and calculations</w:t>
      </w:r>
    </w:p>
    <w:p w14:paraId="35CC42D5" w14:textId="7A249655" w:rsidR="00FA31EB" w:rsidRDefault="004A3796" w:rsidP="00374373">
      <w:pPr>
        <w:jc w:val="both"/>
        <w:rPr>
          <w:bCs/>
          <w:u w:val="single"/>
          <w:lang w:val="en-NZ"/>
        </w:rPr>
      </w:pPr>
      <w:r w:rsidRPr="004A3796">
        <w:rPr>
          <w:bCs/>
          <w:u w:val="single"/>
          <w:lang w:val="en-NZ"/>
        </w:rPr>
        <w:t>Reaction</w:t>
      </w:r>
      <w:r>
        <w:rPr>
          <w:bCs/>
          <w:u w:val="single"/>
          <w:lang w:val="en-NZ"/>
        </w:rPr>
        <w:t xml:space="preserve"> 1 percentage yield calculation:</w:t>
      </w:r>
    </w:p>
    <w:p w14:paraId="7125185B" w14:textId="2C7691AD" w:rsidR="004A3796" w:rsidRPr="004A3796" w:rsidRDefault="004A3796" w:rsidP="00374373">
      <w:pPr>
        <w:jc w:val="both"/>
        <w:rPr>
          <w:bCs/>
          <w:lang w:val="en-NZ"/>
        </w:rPr>
      </w:pPr>
      <w:r>
        <w:rPr>
          <w:bCs/>
          <w:lang w:val="en-NZ"/>
        </w:rPr>
        <w:t>The limiting reagent in this reaction was (Pentan-3-one)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532"/>
        <w:gridCol w:w="1268"/>
        <w:gridCol w:w="950"/>
        <w:gridCol w:w="1390"/>
        <w:gridCol w:w="1800"/>
      </w:tblGrid>
      <w:tr w:rsidR="004A3796" w:rsidRPr="00FC70F7" w14:paraId="1B67BE5F" w14:textId="77777777" w:rsidTr="00934FBD">
        <w:tc>
          <w:tcPr>
            <w:tcW w:w="2628" w:type="dxa"/>
            <w:shd w:val="clear" w:color="auto" w:fill="auto"/>
            <w:vAlign w:val="center"/>
          </w:tcPr>
          <w:p w14:paraId="6C78052B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n (product) expected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536B345D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2C4A36F" w14:textId="37CACC25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0.0662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5CBEB662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mol</w:t>
            </w:r>
          </w:p>
        </w:tc>
      </w:tr>
      <w:tr w:rsidR="004A3796" w:rsidRPr="00FC70F7" w14:paraId="539957E1" w14:textId="77777777" w:rsidTr="00934FBD">
        <w:tc>
          <w:tcPr>
            <w:tcW w:w="2628" w:type="dxa"/>
            <w:shd w:val="clear" w:color="auto" w:fill="auto"/>
            <w:vAlign w:val="center"/>
          </w:tcPr>
          <w:p w14:paraId="75FF0425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 (product)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534F0423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95EA6EE" w14:textId="07D8DC6D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178.14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5F36C7BC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4A3796" w:rsidRPr="00FC70F7" w14:paraId="03D6D740" w14:textId="77777777" w:rsidTr="00934FBD">
        <w:tc>
          <w:tcPr>
            <w:tcW w:w="2628" w:type="dxa"/>
            <w:shd w:val="clear" w:color="auto" w:fill="auto"/>
            <w:vAlign w:val="center"/>
          </w:tcPr>
          <w:p w14:paraId="3CCD31BF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Theoretical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26FA5284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C3C5B88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N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290587B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69F4C0F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M</w:t>
            </w:r>
          </w:p>
        </w:tc>
        <w:tc>
          <w:tcPr>
            <w:tcW w:w="1800" w:type="dxa"/>
            <w:shd w:val="clear" w:color="auto" w:fill="auto"/>
          </w:tcPr>
          <w:p w14:paraId="3835D270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</w:tr>
      <w:tr w:rsidR="004A3796" w:rsidRPr="00FC70F7" w14:paraId="08F1D15D" w14:textId="77777777" w:rsidTr="00934FBD">
        <w:tc>
          <w:tcPr>
            <w:tcW w:w="2628" w:type="dxa"/>
            <w:shd w:val="clear" w:color="auto" w:fill="auto"/>
            <w:vAlign w:val="center"/>
          </w:tcPr>
          <w:p w14:paraId="640C6D71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4BCF74EC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70C558A6" w14:textId="4898E4D9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0.0662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DE6CD1E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mol x </w:t>
            </w:r>
          </w:p>
        </w:tc>
        <w:tc>
          <w:tcPr>
            <w:tcW w:w="1390" w:type="dxa"/>
            <w:shd w:val="clear" w:color="auto" w:fill="auto"/>
          </w:tcPr>
          <w:p w14:paraId="7A57D8A1" w14:textId="0034127F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178.14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71E8570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4A3796" w:rsidRPr="00FC70F7" w14:paraId="2ACC5FA6" w14:textId="77777777" w:rsidTr="00934FBD">
        <w:tc>
          <w:tcPr>
            <w:tcW w:w="2628" w:type="dxa"/>
            <w:shd w:val="clear" w:color="auto" w:fill="auto"/>
            <w:vAlign w:val="center"/>
          </w:tcPr>
          <w:p w14:paraId="3FF98EB0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63E3CEBA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57E98C7" w14:textId="0B70D103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11.792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54B7D0A6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4A3796" w:rsidRPr="00FC70F7" w14:paraId="77BDA746" w14:textId="77777777" w:rsidTr="00934FBD">
        <w:tc>
          <w:tcPr>
            <w:tcW w:w="2628" w:type="dxa"/>
            <w:shd w:val="clear" w:color="auto" w:fill="auto"/>
            <w:vAlign w:val="center"/>
          </w:tcPr>
          <w:p w14:paraId="7D7E39FE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Actual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6E83CB8B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1248084" w14:textId="53824EA4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4.683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00632CE3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4A3796" w:rsidRPr="00C76491" w14:paraId="0721D4FE" w14:textId="77777777" w:rsidTr="00934FBD">
        <w:tc>
          <w:tcPr>
            <w:tcW w:w="2628" w:type="dxa"/>
            <w:shd w:val="clear" w:color="auto" w:fill="auto"/>
            <w:vAlign w:val="center"/>
          </w:tcPr>
          <w:p w14:paraId="41C72C15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Percentage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10F2E90A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 w14:paraId="51E2DC14" w14:textId="2E2C4C33" w:rsidR="004A3796" w:rsidRPr="00C76491" w:rsidRDefault="00000000" w:rsidP="00934FBD">
            <w:pPr>
              <w:spacing w:before="120"/>
              <w:rPr>
                <w:bCs/>
                <w:lang w:val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NZ"/>
                      </w:rPr>
                      <m:t>4.683</m:t>
                    </m:r>
                  </m:num>
                  <m:den>
                    <m:r>
                      <w:rPr>
                        <w:rFonts w:ascii="Cambria Math" w:hAnsi="Cambria Math"/>
                        <w:lang w:val="en-NZ"/>
                      </w:rPr>
                      <m:t>11.792</m:t>
                    </m:r>
                  </m:den>
                </m:f>
                <m:r>
                  <w:rPr>
                    <w:rFonts w:ascii="Cambria Math" w:hAnsi="Cambria Math"/>
                    <w:lang w:val="en-NZ"/>
                  </w:rPr>
                  <m:t>×100</m:t>
                </m:r>
              </m:oMath>
            </m:oMathPara>
          </w:p>
        </w:tc>
      </w:tr>
      <w:tr w:rsidR="004A3796" w:rsidRPr="00FC70F7" w14:paraId="267B58A1" w14:textId="77777777" w:rsidTr="00934FBD">
        <w:tc>
          <w:tcPr>
            <w:tcW w:w="2628" w:type="dxa"/>
            <w:shd w:val="clear" w:color="auto" w:fill="auto"/>
            <w:vAlign w:val="center"/>
          </w:tcPr>
          <w:p w14:paraId="37F4D310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4651EEE5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046981D" w14:textId="1C982477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39.7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3F4670F8" w14:textId="77777777" w:rsidR="004A3796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%</w:t>
            </w:r>
          </w:p>
          <w:p w14:paraId="0C68AB2B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</w:tr>
    </w:tbl>
    <w:p w14:paraId="67F4231F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074461A6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1C494AD0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04D527D8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6B097AEE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44D2230C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640AB447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3163D48C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207C1779" w14:textId="77777777" w:rsidR="004A3796" w:rsidRDefault="004A3796" w:rsidP="004A3796">
      <w:pPr>
        <w:jc w:val="both"/>
        <w:rPr>
          <w:bCs/>
          <w:u w:val="single"/>
          <w:lang w:val="en-NZ"/>
        </w:rPr>
      </w:pPr>
    </w:p>
    <w:p w14:paraId="74C60954" w14:textId="60DAED16" w:rsidR="004A3796" w:rsidRDefault="004A3796" w:rsidP="004A3796">
      <w:pPr>
        <w:jc w:val="both"/>
        <w:rPr>
          <w:bCs/>
          <w:u w:val="single"/>
          <w:lang w:val="en-NZ"/>
        </w:rPr>
      </w:pPr>
      <w:r w:rsidRPr="004A3796">
        <w:rPr>
          <w:bCs/>
          <w:u w:val="single"/>
          <w:lang w:val="en-NZ"/>
        </w:rPr>
        <w:t>Reaction</w:t>
      </w:r>
      <w:r>
        <w:rPr>
          <w:bCs/>
          <w:u w:val="single"/>
          <w:lang w:val="en-NZ"/>
        </w:rPr>
        <w:t xml:space="preserve"> 2 percentage yield calculation:</w:t>
      </w:r>
    </w:p>
    <w:p w14:paraId="6C60E322" w14:textId="758444D8" w:rsidR="004A3796" w:rsidRPr="004A3796" w:rsidRDefault="004A3796" w:rsidP="004A3796">
      <w:pPr>
        <w:jc w:val="both"/>
        <w:rPr>
          <w:bCs/>
          <w:lang w:val="en-NZ"/>
        </w:rPr>
      </w:pPr>
      <w:r>
        <w:rPr>
          <w:bCs/>
          <w:lang w:val="en-NZ"/>
        </w:rPr>
        <w:t>The limiting reagent in this reaction was (</w:t>
      </w:r>
      <w:r>
        <w:rPr>
          <w:spacing w:val="-3"/>
          <w:lang w:val="en-GB"/>
        </w:rPr>
        <w:t>3-benzylpentan-ol</w:t>
      </w:r>
      <w:r>
        <w:rPr>
          <w:bCs/>
          <w:lang w:val="en-NZ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532"/>
        <w:gridCol w:w="1268"/>
        <w:gridCol w:w="950"/>
        <w:gridCol w:w="1390"/>
        <w:gridCol w:w="1800"/>
      </w:tblGrid>
      <w:tr w:rsidR="004A3796" w:rsidRPr="00FC70F7" w14:paraId="738C5D19" w14:textId="77777777" w:rsidTr="00934FBD">
        <w:tc>
          <w:tcPr>
            <w:tcW w:w="2628" w:type="dxa"/>
            <w:shd w:val="clear" w:color="auto" w:fill="auto"/>
            <w:vAlign w:val="center"/>
          </w:tcPr>
          <w:p w14:paraId="5BF686DC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n (product) expected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1BA09B56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7B73FDEB" w14:textId="6EA3D292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0.00868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2BE10BBF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mol</w:t>
            </w:r>
          </w:p>
        </w:tc>
      </w:tr>
      <w:tr w:rsidR="004A3796" w:rsidRPr="00FC70F7" w14:paraId="7DC9A89B" w14:textId="77777777" w:rsidTr="00934FBD">
        <w:tc>
          <w:tcPr>
            <w:tcW w:w="2628" w:type="dxa"/>
            <w:shd w:val="clear" w:color="auto" w:fill="auto"/>
            <w:vAlign w:val="center"/>
          </w:tcPr>
          <w:p w14:paraId="6ADC898E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 (product)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299607FF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7BBD7B67" w14:textId="2BFA5D01" w:rsidR="004A3796" w:rsidRPr="00FC70F7" w:rsidRDefault="009C735B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160.13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2F342058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4A3796" w:rsidRPr="00FC70F7" w14:paraId="5533B36E" w14:textId="77777777" w:rsidTr="00934FBD">
        <w:tc>
          <w:tcPr>
            <w:tcW w:w="2628" w:type="dxa"/>
            <w:shd w:val="clear" w:color="auto" w:fill="auto"/>
            <w:vAlign w:val="center"/>
          </w:tcPr>
          <w:p w14:paraId="3C563DF1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Theoretical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5393154D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CA50124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N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1299792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3A89F8B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M</w:t>
            </w:r>
          </w:p>
        </w:tc>
        <w:tc>
          <w:tcPr>
            <w:tcW w:w="1800" w:type="dxa"/>
            <w:shd w:val="clear" w:color="auto" w:fill="auto"/>
          </w:tcPr>
          <w:p w14:paraId="56FD79BA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</w:tr>
      <w:tr w:rsidR="004A3796" w:rsidRPr="00FC70F7" w14:paraId="77E67511" w14:textId="77777777" w:rsidTr="00934FBD">
        <w:tc>
          <w:tcPr>
            <w:tcW w:w="2628" w:type="dxa"/>
            <w:shd w:val="clear" w:color="auto" w:fill="auto"/>
            <w:vAlign w:val="center"/>
          </w:tcPr>
          <w:p w14:paraId="3B775B27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6CF0B8FD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9F5A93C" w14:textId="19DF8B4D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0.00868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06A4F39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mol x </w:t>
            </w:r>
          </w:p>
        </w:tc>
        <w:tc>
          <w:tcPr>
            <w:tcW w:w="1390" w:type="dxa"/>
            <w:shd w:val="clear" w:color="auto" w:fill="auto"/>
          </w:tcPr>
          <w:p w14:paraId="596DEAD0" w14:textId="34F9CEF7" w:rsidR="004A3796" w:rsidRPr="00FC70F7" w:rsidRDefault="009C735B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160.13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D614BD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4A3796" w:rsidRPr="00FC70F7" w14:paraId="52FA5D00" w14:textId="77777777" w:rsidTr="00934FBD">
        <w:tc>
          <w:tcPr>
            <w:tcW w:w="2628" w:type="dxa"/>
            <w:shd w:val="clear" w:color="auto" w:fill="auto"/>
            <w:vAlign w:val="center"/>
          </w:tcPr>
          <w:p w14:paraId="5F260848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51189CC7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8436A57" w14:textId="002E1130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9C735B">
              <w:rPr>
                <w:lang w:val="en-NZ"/>
              </w:rPr>
              <w:t>.39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0D53629A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4A3796" w:rsidRPr="00FC70F7" w14:paraId="028A0A83" w14:textId="77777777" w:rsidTr="00934FBD">
        <w:tc>
          <w:tcPr>
            <w:tcW w:w="2628" w:type="dxa"/>
            <w:shd w:val="clear" w:color="auto" w:fill="auto"/>
            <w:vAlign w:val="center"/>
          </w:tcPr>
          <w:p w14:paraId="69CEA589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Actual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37B15F1F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A9B06BF" w14:textId="6A9F877A" w:rsidR="004A3796" w:rsidRPr="00FC70F7" w:rsidRDefault="004A3796" w:rsidP="00934FBD">
            <w:pPr>
              <w:spacing w:before="120"/>
              <w:jc w:val="right"/>
              <w:rPr>
                <w:lang w:val="en-NZ"/>
              </w:rPr>
            </w:pP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185EA91A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4A3796" w:rsidRPr="00C76491" w14:paraId="68A602AE" w14:textId="77777777" w:rsidTr="00934FBD">
        <w:tc>
          <w:tcPr>
            <w:tcW w:w="2628" w:type="dxa"/>
            <w:shd w:val="clear" w:color="auto" w:fill="auto"/>
            <w:vAlign w:val="center"/>
          </w:tcPr>
          <w:p w14:paraId="04C202AF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Percentage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21EDA4CE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 w14:paraId="34D84A45" w14:textId="76EFDBE2" w:rsidR="004A3796" w:rsidRPr="00C76491" w:rsidRDefault="00000000" w:rsidP="00934FBD">
            <w:pPr>
              <w:spacing w:before="120"/>
              <w:rPr>
                <w:bCs/>
                <w:lang w:val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NZ"/>
                      </w:rPr>
                      <m:t>0.7</m:t>
                    </m:r>
                  </m:num>
                  <m:den>
                    <m:r>
                      <w:rPr>
                        <w:rFonts w:ascii="Cambria Math" w:hAnsi="Cambria Math"/>
                        <w:lang w:val="en-NZ"/>
                      </w:rPr>
                      <m:t>1.39</m:t>
                    </m:r>
                  </m:den>
                </m:f>
                <m:r>
                  <w:rPr>
                    <w:rFonts w:ascii="Cambria Math" w:hAnsi="Cambria Math"/>
                    <w:lang w:val="en-NZ"/>
                  </w:rPr>
                  <m:t>×100</m:t>
                </m:r>
              </m:oMath>
            </m:oMathPara>
          </w:p>
        </w:tc>
      </w:tr>
      <w:tr w:rsidR="004A3796" w:rsidRPr="00FC70F7" w14:paraId="59D8DDAB" w14:textId="77777777" w:rsidTr="00934FBD">
        <w:tc>
          <w:tcPr>
            <w:tcW w:w="2628" w:type="dxa"/>
            <w:shd w:val="clear" w:color="auto" w:fill="auto"/>
            <w:vAlign w:val="center"/>
          </w:tcPr>
          <w:p w14:paraId="43C1CBF4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7CBA1FA9" w14:textId="77777777" w:rsidR="004A3796" w:rsidRPr="00FC70F7" w:rsidRDefault="004A3796" w:rsidP="00934FBD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0B5D964D" w14:textId="01DE6773" w:rsidR="004A3796" w:rsidRPr="00FC70F7" w:rsidRDefault="009C735B" w:rsidP="00934FBD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50.3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205BBDD9" w14:textId="77777777" w:rsidR="004A3796" w:rsidRDefault="004A3796" w:rsidP="00934FBD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%</w:t>
            </w:r>
          </w:p>
          <w:p w14:paraId="7A8EF84F" w14:textId="77777777" w:rsidR="004A3796" w:rsidRPr="00FC70F7" w:rsidRDefault="004A3796" w:rsidP="00934FBD">
            <w:pPr>
              <w:spacing w:before="120"/>
              <w:rPr>
                <w:lang w:val="en-NZ"/>
              </w:rPr>
            </w:pPr>
          </w:p>
        </w:tc>
      </w:tr>
    </w:tbl>
    <w:p w14:paraId="1033E910" w14:textId="77777777" w:rsidR="00FA31EB" w:rsidRDefault="00FA31EB" w:rsidP="00374373">
      <w:pPr>
        <w:jc w:val="both"/>
        <w:rPr>
          <w:b/>
          <w:u w:val="single"/>
          <w:lang w:val="en-NZ"/>
        </w:rPr>
      </w:pPr>
    </w:p>
    <w:p w14:paraId="627EC9DF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4221698E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73F8E2FA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61B88E4F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0D18E9BA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024BE340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6F887F6A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5511708F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46563FE4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5FD35CD9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25159BE5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311DE068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6CA80E58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28C0F199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0513BBCD" w14:textId="77777777" w:rsidR="006F4FDA" w:rsidRDefault="006F4FDA" w:rsidP="00374373">
      <w:pPr>
        <w:jc w:val="both"/>
        <w:rPr>
          <w:b/>
          <w:u w:val="single"/>
          <w:lang w:val="en-NZ"/>
        </w:rPr>
      </w:pPr>
    </w:p>
    <w:p w14:paraId="7D954A13" w14:textId="61C7E43F" w:rsidR="00EF14E8" w:rsidRPr="00EF14E8" w:rsidRDefault="00EF14E8" w:rsidP="00EF14E8">
      <w:pPr>
        <w:jc w:val="both"/>
        <w:rPr>
          <w:bCs/>
          <w:i/>
          <w:u w:val="single"/>
          <w:lang w:val="en-NZ"/>
        </w:rPr>
      </w:pPr>
      <w:r w:rsidRPr="00EF14E8">
        <w:rPr>
          <w:bCs/>
          <w:i/>
          <w:u w:val="single"/>
          <w:lang w:val="en-NZ"/>
        </w:rPr>
        <w:lastRenderedPageBreak/>
        <w:t xml:space="preserve">IR spectrum of </w:t>
      </w:r>
      <w:r>
        <w:rPr>
          <w:bCs/>
          <w:i/>
          <w:u w:val="single"/>
          <w:lang w:val="en-NZ"/>
        </w:rPr>
        <w:t>ketone</w:t>
      </w:r>
      <w:r w:rsidRPr="00382B9E">
        <w:rPr>
          <w:bCs/>
          <w:i/>
          <w:u w:val="single"/>
          <w:lang w:val="en-NZ"/>
        </w:rPr>
        <w:t>(</w:t>
      </w:r>
      <w:r w:rsidR="00382B9E" w:rsidRPr="00382B9E">
        <w:rPr>
          <w:spacing w:val="-3"/>
          <w:u w:val="single"/>
          <w:lang w:val="en-GB"/>
        </w:rPr>
        <w:t>C</w:t>
      </w:r>
      <w:r w:rsidR="00382B9E" w:rsidRPr="00382B9E">
        <w:rPr>
          <w:spacing w:val="-3"/>
          <w:u w:val="single"/>
          <w:vertAlign w:val="subscript"/>
          <w:lang w:val="en-GB"/>
        </w:rPr>
        <w:t>5</w:t>
      </w:r>
      <w:r w:rsidR="00382B9E" w:rsidRPr="00382B9E">
        <w:rPr>
          <w:spacing w:val="-3"/>
          <w:u w:val="single"/>
          <w:lang w:val="en-GB"/>
        </w:rPr>
        <w:t>H</w:t>
      </w:r>
      <w:r w:rsidR="00382B9E" w:rsidRPr="00382B9E">
        <w:rPr>
          <w:spacing w:val="-3"/>
          <w:u w:val="single"/>
          <w:vertAlign w:val="subscript"/>
          <w:lang w:val="en-GB"/>
        </w:rPr>
        <w:t>10</w:t>
      </w:r>
      <w:r w:rsidR="00382B9E" w:rsidRPr="00382B9E">
        <w:rPr>
          <w:spacing w:val="-3"/>
          <w:u w:val="single"/>
          <w:lang w:val="en-GB"/>
        </w:rPr>
        <w:t>O</w:t>
      </w:r>
      <w:r w:rsidR="00382B9E" w:rsidRPr="00382B9E">
        <w:rPr>
          <w:bCs/>
          <w:i/>
          <w:u w:val="single"/>
          <w:lang w:val="en-NZ"/>
        </w:rPr>
        <w:t>)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190"/>
        <w:gridCol w:w="1556"/>
        <w:gridCol w:w="2595"/>
        <w:gridCol w:w="2595"/>
      </w:tblGrid>
      <w:tr w:rsidR="00EF14E8" w:rsidRPr="00EF14E8" w14:paraId="322C641D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B81B" w14:textId="77777777" w:rsidR="00EF14E8" w:rsidRPr="00EF14E8" w:rsidRDefault="00EF14E8" w:rsidP="00EF14E8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</w:rPr>
              <w:t>ν</w:t>
            </w:r>
            <w:r w:rsidRPr="00EF14E8">
              <w:rPr>
                <w:b/>
                <w:bCs/>
                <w:lang w:val="en-NZ"/>
              </w:rPr>
              <w:t> / cm</w:t>
            </w:r>
            <w:r w:rsidRPr="00EF14E8">
              <w:rPr>
                <w:b/>
                <w:bCs/>
                <w:vertAlign w:val="superscript"/>
                <w:lang w:val="en-NZ"/>
              </w:rPr>
              <w:t>-1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D1BA" w14:textId="77777777" w:rsidR="00EF14E8" w:rsidRPr="00EF14E8" w:rsidRDefault="00EF14E8" w:rsidP="00EF14E8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intensity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B852" w14:textId="77777777" w:rsidR="00EF14E8" w:rsidRPr="00EF14E8" w:rsidRDefault="00EF14E8" w:rsidP="00EF14E8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appearance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DCE9" w14:textId="77777777" w:rsidR="00EF14E8" w:rsidRPr="00EF14E8" w:rsidRDefault="00EF14E8" w:rsidP="00EF14E8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assignment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962E" w14:textId="77777777" w:rsidR="00EF14E8" w:rsidRPr="00EF14E8" w:rsidRDefault="00EF14E8" w:rsidP="00EF14E8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inference</w:t>
            </w:r>
          </w:p>
        </w:tc>
      </w:tr>
      <w:tr w:rsidR="00EF14E8" w:rsidRPr="00EF14E8" w14:paraId="7E63B6E0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7AAF" w14:textId="1379FB2E" w:rsidR="00EF14E8" w:rsidRPr="00EF14E8" w:rsidRDefault="00EF14E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2997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76B9" w14:textId="48005B49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6775" w14:textId="12A18FD9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BB96" w14:textId="11EFF46C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394A" w14:textId="6E1EB4A8" w:rsidR="00EF14E8" w:rsidRPr="00EF14E8" w:rsidRDefault="00D23B2E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</w:t>
            </w:r>
            <w:r w:rsidR="00120BDA">
              <w:rPr>
                <w:bCs/>
                <w:lang w:val="en-NZ"/>
              </w:rPr>
              <w:t>lkyl C-H</w:t>
            </w:r>
          </w:p>
        </w:tc>
      </w:tr>
      <w:tr w:rsidR="00EF14E8" w:rsidRPr="00EF14E8" w14:paraId="7419FB4A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50B9" w14:textId="0240E7F3" w:rsid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2940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AB24" w14:textId="085FBEB0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4710" w14:textId="18A5A9CA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197C" w14:textId="35D4F38A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A0CF" w14:textId="0EC42694" w:rsidR="00EF14E8" w:rsidRPr="00EF14E8" w:rsidRDefault="00D23B2E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</w:t>
            </w:r>
            <w:r w:rsidR="00120BDA">
              <w:rPr>
                <w:bCs/>
                <w:lang w:val="en-NZ"/>
              </w:rPr>
              <w:t>lkyl C-H</w:t>
            </w:r>
          </w:p>
        </w:tc>
      </w:tr>
      <w:tr w:rsidR="00EF14E8" w:rsidRPr="00EF14E8" w14:paraId="3DFC4317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6860" w14:textId="7BF49507" w:rsid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1712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D2F6" w14:textId="50BADA68" w:rsidR="00EF14E8" w:rsidRPr="00EF14E8" w:rsidRDefault="00120BDA" w:rsidP="00120BDA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0807" w14:textId="391E4417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B428" w14:textId="609A42CD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C=O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448A" w14:textId="69CCA5F0" w:rsidR="00EF14E8" w:rsidRPr="00EF14E8" w:rsidRDefault="00D23B2E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n</w:t>
            </w:r>
            <w:r w:rsidR="00120BDA">
              <w:rPr>
                <w:bCs/>
                <w:lang w:val="en-NZ"/>
              </w:rPr>
              <w:t>on-conjugated ketone</w:t>
            </w:r>
          </w:p>
        </w:tc>
      </w:tr>
      <w:tr w:rsidR="00EF14E8" w:rsidRPr="00EF14E8" w14:paraId="3BE12EBA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41FA" w14:textId="7B17D2AE" w:rsid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1376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FAC5" w14:textId="2B59AE49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4795" w14:textId="47E956E4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0E2B" w14:textId="77526D28" w:rsidR="00EF14E8" w:rsidRPr="00EF14E8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bend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8F2B" w14:textId="0173087F" w:rsidR="00EF14E8" w:rsidRPr="00EF14E8" w:rsidRDefault="00D23B2E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  <w:r w:rsidR="00120BDA">
              <w:rPr>
                <w:bCs/>
                <w:lang w:val="en-NZ"/>
              </w:rPr>
              <w:t>ethyl C-H</w:t>
            </w:r>
          </w:p>
        </w:tc>
      </w:tr>
      <w:tr w:rsidR="00120BDA" w:rsidRPr="00EF14E8" w14:paraId="4021DFEB" w14:textId="77777777" w:rsidTr="00EF14E8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AAB0" w14:textId="42FEF5DA" w:rsidR="00120BDA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1357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E2F9" w14:textId="4A2A8FC6" w:rsidR="00120BDA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5DC5" w14:textId="23A534BA" w:rsidR="00120BDA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3D64" w14:textId="11BA0255" w:rsidR="00120BDA" w:rsidRDefault="00120BDA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bend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CB3D" w14:textId="35ABF86E" w:rsidR="00120BDA" w:rsidRPr="00EF14E8" w:rsidRDefault="00D23B2E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  <w:r w:rsidR="00120BDA">
              <w:rPr>
                <w:bCs/>
                <w:lang w:val="en-NZ"/>
              </w:rPr>
              <w:t>ethyl C-H</w:t>
            </w:r>
          </w:p>
        </w:tc>
      </w:tr>
    </w:tbl>
    <w:p w14:paraId="4F342B08" w14:textId="77777777" w:rsidR="00374373" w:rsidRDefault="00374373" w:rsidP="00374373">
      <w:pPr>
        <w:jc w:val="both"/>
        <w:rPr>
          <w:bCs/>
          <w:lang w:val="en-NZ"/>
        </w:rPr>
      </w:pPr>
    </w:p>
    <w:p w14:paraId="06269090" w14:textId="56A24417" w:rsidR="00EF14E8" w:rsidRPr="00EF14E8" w:rsidRDefault="00EF14E8" w:rsidP="00EF14E8">
      <w:pPr>
        <w:jc w:val="both"/>
        <w:rPr>
          <w:bCs/>
          <w:i/>
          <w:u w:val="single"/>
          <w:lang w:val="en-NZ"/>
        </w:rPr>
      </w:pPr>
      <w:r w:rsidRPr="00EF14E8">
        <w:rPr>
          <w:bCs/>
          <w:i/>
          <w:u w:val="single"/>
          <w:lang w:val="en-NZ"/>
        </w:rPr>
        <w:t xml:space="preserve">IR spectrum of </w:t>
      </w:r>
      <w:r>
        <w:rPr>
          <w:bCs/>
          <w:i/>
          <w:u w:val="single"/>
          <w:lang w:val="en-NZ"/>
        </w:rPr>
        <w:t xml:space="preserve">intermediate </w:t>
      </w:r>
      <w:r w:rsidRPr="00EF14E8">
        <w:rPr>
          <w:bCs/>
          <w:i/>
          <w:u w:val="single"/>
          <w:lang w:val="en-NZ"/>
        </w:rPr>
        <w:t>product</w:t>
      </w:r>
      <w:r w:rsidRPr="00382B9E">
        <w:rPr>
          <w:bCs/>
          <w:i/>
          <w:u w:val="single"/>
          <w:lang w:val="en-NZ"/>
        </w:rPr>
        <w:t>(</w:t>
      </w:r>
      <w:r w:rsidR="00382B9E" w:rsidRPr="00382B9E">
        <w:rPr>
          <w:spacing w:val="-3"/>
          <w:u w:val="single"/>
          <w:lang w:val="en-GB"/>
        </w:rPr>
        <w:t>C</w:t>
      </w:r>
      <w:r w:rsidR="00382B9E" w:rsidRPr="00382B9E">
        <w:rPr>
          <w:spacing w:val="-3"/>
          <w:u w:val="single"/>
          <w:vertAlign w:val="subscript"/>
          <w:lang w:val="en-GB"/>
        </w:rPr>
        <w:t>12</w:t>
      </w:r>
      <w:r w:rsidR="00382B9E" w:rsidRPr="00382B9E">
        <w:rPr>
          <w:spacing w:val="-3"/>
          <w:u w:val="single"/>
          <w:lang w:val="en-GB"/>
        </w:rPr>
        <w:t>H</w:t>
      </w:r>
      <w:r w:rsidR="00382B9E" w:rsidRPr="00382B9E">
        <w:rPr>
          <w:spacing w:val="-3"/>
          <w:u w:val="single"/>
          <w:vertAlign w:val="subscript"/>
          <w:lang w:val="en-GB"/>
        </w:rPr>
        <w:t>18</w:t>
      </w:r>
      <w:r w:rsidR="00382B9E" w:rsidRPr="00382B9E">
        <w:rPr>
          <w:spacing w:val="-3"/>
          <w:u w:val="single"/>
          <w:lang w:val="en-GB"/>
        </w:rPr>
        <w:t>O</w:t>
      </w:r>
      <w:r w:rsidRPr="00382B9E">
        <w:rPr>
          <w:bCs/>
          <w:i/>
          <w:u w:val="single"/>
          <w:lang w:val="en-NZ"/>
        </w:rPr>
        <w:t>)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190"/>
        <w:gridCol w:w="1556"/>
        <w:gridCol w:w="2595"/>
        <w:gridCol w:w="2595"/>
      </w:tblGrid>
      <w:tr w:rsidR="00EF14E8" w:rsidRPr="00EF14E8" w14:paraId="3146BBFA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8CEE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</w:rPr>
              <w:t>ν</w:t>
            </w:r>
            <w:r w:rsidRPr="00EF14E8">
              <w:rPr>
                <w:b/>
                <w:bCs/>
                <w:lang w:val="en-NZ"/>
              </w:rPr>
              <w:t> / cm</w:t>
            </w:r>
            <w:r w:rsidRPr="00EF14E8">
              <w:rPr>
                <w:b/>
                <w:bCs/>
                <w:vertAlign w:val="superscript"/>
                <w:lang w:val="en-NZ"/>
              </w:rPr>
              <w:t>-1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332E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intensity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3F84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appearance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9E58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assignment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76551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inference</w:t>
            </w:r>
          </w:p>
        </w:tc>
      </w:tr>
      <w:tr w:rsidR="00EF14E8" w:rsidRPr="00EF14E8" w14:paraId="068FF26D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40B6" w14:textId="46CFAB6D" w:rsidR="00EF14E8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3425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4641" w14:textId="73FEFBF6" w:rsidR="00EF14E8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1809" w14:textId="2195AD66" w:rsidR="00EF14E8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br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F034" w14:textId="1573E1E1" w:rsidR="00EF14E8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O-H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DA0C" w14:textId="7148B659" w:rsidR="00EF14E8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alcohol</w:t>
            </w:r>
          </w:p>
        </w:tc>
      </w:tr>
      <w:tr w:rsidR="00D23B2E" w:rsidRPr="00EF14E8" w14:paraId="22437ECD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492" w14:textId="0184C0D7" w:rsidR="00D23B2E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3028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589F" w14:textId="0629E92A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C5D2" w14:textId="31AE5EB1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DF03" w14:textId="5F434435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1C6" w14:textId="454210A8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aromatic C-H</w:t>
            </w:r>
          </w:p>
        </w:tc>
      </w:tr>
      <w:tr w:rsidR="00D23B2E" w:rsidRPr="00EF14E8" w14:paraId="57A4E51A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F1DB" w14:textId="422A08F3" w:rsidR="00D23B2E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2966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272A" w14:textId="2D8A8063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5079" w14:textId="6A3CD100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001C" w14:textId="1053AAAC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F6F6" w14:textId="554C9A57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 xml:space="preserve">alkyl </w:t>
            </w:r>
            <w:r w:rsidR="00FA31EB">
              <w:rPr>
                <w:bCs/>
                <w:lang w:val="en-NZ"/>
              </w:rPr>
              <w:t>C</w:t>
            </w:r>
            <w:r>
              <w:rPr>
                <w:bCs/>
                <w:lang w:val="en-NZ"/>
              </w:rPr>
              <w:t>-H</w:t>
            </w:r>
          </w:p>
        </w:tc>
      </w:tr>
      <w:tr w:rsidR="00D23B2E" w:rsidRPr="00EF14E8" w14:paraId="2E734B54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9776" w14:textId="3BDB3E79" w:rsidR="00D23B2E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2938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747D" w14:textId="6BAEB5A7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CB88" w14:textId="369F8052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slightly br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FE5E" w14:textId="5FFDEEE6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2D72" w14:textId="7CC0099B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alkyl C-H</w:t>
            </w:r>
          </w:p>
        </w:tc>
      </w:tr>
      <w:tr w:rsidR="00D23B2E" w:rsidRPr="00EF14E8" w14:paraId="15F79DF5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ACEC" w14:textId="77A34774" w:rsidR="00D23B2E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1602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DB96" w14:textId="3301D753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DB17" w14:textId="26781C73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D3C7" w14:textId="7AB7E7D0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4BA3" w14:textId="3C9D0BAD" w:rsidR="00D23B2E" w:rsidRPr="00EF14E8" w:rsidRDefault="00D23B2E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aromatic skeletal stretch</w:t>
            </w:r>
          </w:p>
        </w:tc>
      </w:tr>
      <w:tr w:rsidR="00D23B2E" w:rsidRPr="00EF14E8" w14:paraId="37A2CF98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1C17" w14:textId="6FAADA53" w:rsidR="00D23B2E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1495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853C" w14:textId="4C398A21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1155" w14:textId="5DF479C6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CF1C" w14:textId="420632B7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27F0" w14:textId="100B13B7" w:rsidR="00D23B2E" w:rsidRPr="00EF14E8" w:rsidRDefault="005F0D2C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aromatic skeletal stretch</w:t>
            </w:r>
          </w:p>
        </w:tc>
      </w:tr>
      <w:tr w:rsidR="00D23B2E" w:rsidRPr="00EF14E8" w14:paraId="1D378C98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3969" w14:textId="5A19139D" w:rsidR="00D23B2E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1453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5386" w14:textId="0F1254EA" w:rsidR="00D23B2E" w:rsidRPr="00EF14E8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288C" w14:textId="1E3B54BA" w:rsidR="00D23B2E" w:rsidRPr="00EF14E8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8036" w14:textId="6418C4EE" w:rsidR="00D23B2E" w:rsidRPr="00EF14E8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bend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9366" w14:textId="7747FC15" w:rsidR="00D23B2E" w:rsidRP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sp</w:t>
            </w:r>
            <w:r>
              <w:rPr>
                <w:bCs/>
                <w:vertAlign w:val="superscript"/>
                <w:lang w:val="en-NZ"/>
              </w:rPr>
              <w:t>3</w:t>
            </w:r>
            <w:r>
              <w:rPr>
                <w:bCs/>
                <w:lang w:val="en-NZ"/>
              </w:rPr>
              <w:t xml:space="preserve"> hybridised carbon</w:t>
            </w:r>
          </w:p>
        </w:tc>
      </w:tr>
      <w:tr w:rsidR="00FA31EB" w:rsidRPr="00EF14E8" w14:paraId="19B820C5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CC6D" w14:textId="096CD007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1380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370F" w14:textId="2E7546BB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FC8A" w14:textId="468EB992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slightly br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F58E" w14:textId="7AB54220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bend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FDA3" w14:textId="245D6ED5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methyl C-H</w:t>
            </w:r>
          </w:p>
        </w:tc>
      </w:tr>
      <w:tr w:rsidR="00FA31EB" w:rsidRPr="00EF14E8" w14:paraId="63770868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FA1A" w14:textId="020F6D3D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756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A451" w14:textId="24DE7E5A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8E59" w14:textId="0E961CDA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946C" w14:textId="16E63295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deformation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AD89" w14:textId="65C3B87F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monosubstituted benzene derivative</w:t>
            </w:r>
          </w:p>
        </w:tc>
      </w:tr>
      <w:tr w:rsidR="00FA31EB" w:rsidRPr="00EF14E8" w14:paraId="130D5057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F252" w14:textId="748940C0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696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E29E" w14:textId="5085FA30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B564" w14:textId="15572C5D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B00C" w14:textId="36B98664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deformation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735B" w14:textId="5C9D4F10" w:rsidR="00FA31EB" w:rsidRDefault="00FA31EB" w:rsidP="00EF14E8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monosubstituted benzene derivative</w:t>
            </w:r>
          </w:p>
        </w:tc>
      </w:tr>
    </w:tbl>
    <w:p w14:paraId="657522F8" w14:textId="77777777" w:rsidR="004A17A8" w:rsidRDefault="004A17A8" w:rsidP="00374373">
      <w:pPr>
        <w:jc w:val="both"/>
        <w:rPr>
          <w:bCs/>
          <w:lang w:val="en-NZ"/>
        </w:rPr>
      </w:pPr>
    </w:p>
    <w:p w14:paraId="7E68CDD1" w14:textId="77777777" w:rsidR="006F4FDA" w:rsidRDefault="006F4FDA" w:rsidP="00374373">
      <w:pPr>
        <w:jc w:val="both"/>
        <w:rPr>
          <w:bCs/>
          <w:lang w:val="en-NZ"/>
        </w:rPr>
      </w:pPr>
    </w:p>
    <w:p w14:paraId="204A2AB3" w14:textId="77777777" w:rsidR="006F4FDA" w:rsidRDefault="006F4FDA" w:rsidP="00374373">
      <w:pPr>
        <w:jc w:val="both"/>
        <w:rPr>
          <w:bCs/>
          <w:lang w:val="en-NZ"/>
        </w:rPr>
      </w:pPr>
    </w:p>
    <w:p w14:paraId="4CCFB2A8" w14:textId="77777777" w:rsidR="006F4FDA" w:rsidRDefault="006F4FDA" w:rsidP="00374373">
      <w:pPr>
        <w:jc w:val="both"/>
        <w:rPr>
          <w:bCs/>
          <w:lang w:val="en-NZ"/>
        </w:rPr>
      </w:pPr>
    </w:p>
    <w:p w14:paraId="11D1FC01" w14:textId="77777777" w:rsidR="006F4FDA" w:rsidRDefault="006F4FDA" w:rsidP="00374373">
      <w:pPr>
        <w:jc w:val="both"/>
        <w:rPr>
          <w:bCs/>
          <w:lang w:val="en-NZ"/>
        </w:rPr>
      </w:pPr>
    </w:p>
    <w:p w14:paraId="60B9521C" w14:textId="77777777" w:rsidR="006F4FDA" w:rsidRDefault="006F4FDA" w:rsidP="00374373">
      <w:pPr>
        <w:jc w:val="both"/>
        <w:rPr>
          <w:bCs/>
          <w:lang w:val="en-NZ"/>
        </w:rPr>
      </w:pPr>
    </w:p>
    <w:p w14:paraId="6D9E2E62" w14:textId="77777777" w:rsidR="006F4FDA" w:rsidRDefault="006F4FDA" w:rsidP="00374373">
      <w:pPr>
        <w:jc w:val="both"/>
        <w:rPr>
          <w:bCs/>
          <w:lang w:val="en-NZ"/>
        </w:rPr>
      </w:pPr>
    </w:p>
    <w:p w14:paraId="3862A3EE" w14:textId="77777777" w:rsidR="006F4FDA" w:rsidRDefault="006F4FDA" w:rsidP="00374373">
      <w:pPr>
        <w:jc w:val="both"/>
        <w:rPr>
          <w:bCs/>
          <w:lang w:val="en-NZ"/>
        </w:rPr>
      </w:pPr>
    </w:p>
    <w:p w14:paraId="7042F390" w14:textId="04FA71F3" w:rsidR="00EF14E8" w:rsidRPr="00EF14E8" w:rsidRDefault="00EF14E8" w:rsidP="00EF14E8">
      <w:pPr>
        <w:jc w:val="both"/>
        <w:rPr>
          <w:bCs/>
          <w:i/>
          <w:u w:val="single"/>
          <w:lang w:val="en-NZ"/>
        </w:rPr>
      </w:pPr>
      <w:r w:rsidRPr="00EF14E8">
        <w:rPr>
          <w:bCs/>
          <w:i/>
          <w:u w:val="single"/>
          <w:lang w:val="en-NZ"/>
        </w:rPr>
        <w:lastRenderedPageBreak/>
        <w:t xml:space="preserve">IR spectrum of </w:t>
      </w:r>
      <w:r>
        <w:rPr>
          <w:bCs/>
          <w:i/>
          <w:u w:val="single"/>
          <w:lang w:val="en-NZ"/>
        </w:rPr>
        <w:t xml:space="preserve">final </w:t>
      </w:r>
      <w:r w:rsidRPr="00EF14E8">
        <w:rPr>
          <w:bCs/>
          <w:i/>
          <w:u w:val="single"/>
          <w:lang w:val="en-NZ"/>
        </w:rPr>
        <w:t>product</w:t>
      </w:r>
      <w:r w:rsidRPr="00382B9E">
        <w:rPr>
          <w:bCs/>
          <w:i/>
          <w:u w:val="single"/>
          <w:lang w:val="en-NZ"/>
        </w:rPr>
        <w:t>(</w:t>
      </w:r>
      <w:r w:rsidR="00382B9E" w:rsidRPr="00382B9E">
        <w:rPr>
          <w:spacing w:val="-3"/>
          <w:u w:val="single"/>
          <w:lang w:val="en-GB"/>
        </w:rPr>
        <w:t>C</w:t>
      </w:r>
      <w:r w:rsidR="00382B9E" w:rsidRPr="00382B9E">
        <w:rPr>
          <w:spacing w:val="-3"/>
          <w:u w:val="single"/>
          <w:vertAlign w:val="subscript"/>
          <w:lang w:val="en-GB"/>
        </w:rPr>
        <w:t>12</w:t>
      </w:r>
      <w:r w:rsidR="00382B9E" w:rsidRPr="00382B9E">
        <w:rPr>
          <w:spacing w:val="-3"/>
          <w:u w:val="single"/>
          <w:lang w:val="en-GB"/>
        </w:rPr>
        <w:t>H</w:t>
      </w:r>
      <w:r w:rsidR="00382B9E" w:rsidRPr="00382B9E">
        <w:rPr>
          <w:spacing w:val="-3"/>
          <w:u w:val="single"/>
          <w:vertAlign w:val="subscript"/>
          <w:lang w:val="en-GB"/>
        </w:rPr>
        <w:t>1</w:t>
      </w:r>
      <w:r w:rsidR="006F4FDA">
        <w:rPr>
          <w:spacing w:val="-3"/>
          <w:u w:val="single"/>
          <w:vertAlign w:val="subscript"/>
          <w:lang w:val="en-GB"/>
        </w:rPr>
        <w:t>6</w:t>
      </w:r>
      <w:r w:rsidRPr="00382B9E">
        <w:rPr>
          <w:bCs/>
          <w:i/>
          <w:u w:val="single"/>
          <w:lang w:val="en-NZ"/>
        </w:rPr>
        <w:t>)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190"/>
        <w:gridCol w:w="1556"/>
        <w:gridCol w:w="2595"/>
        <w:gridCol w:w="2595"/>
      </w:tblGrid>
      <w:tr w:rsidR="00EF14E8" w:rsidRPr="00EF14E8" w14:paraId="234F7337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C87B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</w:rPr>
              <w:t>ν</w:t>
            </w:r>
            <w:r w:rsidRPr="00EF14E8">
              <w:rPr>
                <w:b/>
                <w:bCs/>
                <w:lang w:val="en-NZ"/>
              </w:rPr>
              <w:t> / cm</w:t>
            </w:r>
            <w:r w:rsidRPr="00EF14E8">
              <w:rPr>
                <w:b/>
                <w:bCs/>
                <w:vertAlign w:val="superscript"/>
                <w:lang w:val="en-NZ"/>
              </w:rPr>
              <w:t>-1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98C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intensity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2B28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appearance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7B92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assignment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4205" w14:textId="77777777" w:rsidR="00EF14E8" w:rsidRPr="00EF14E8" w:rsidRDefault="00EF14E8" w:rsidP="002807D0">
            <w:pPr>
              <w:jc w:val="both"/>
              <w:rPr>
                <w:b/>
                <w:bCs/>
                <w:lang w:val="en-NZ"/>
              </w:rPr>
            </w:pPr>
            <w:r w:rsidRPr="00EF14E8">
              <w:rPr>
                <w:b/>
                <w:bCs/>
                <w:lang w:val="en-NZ"/>
              </w:rPr>
              <w:t>inference</w:t>
            </w:r>
          </w:p>
        </w:tc>
      </w:tr>
      <w:tr w:rsidR="00475E35" w:rsidRPr="00EF14E8" w14:paraId="2A887286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5F42" w14:textId="0C1823C4" w:rsidR="00475E35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3061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5292" w14:textId="68213A10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A4F2" w14:textId="26591262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C610" w14:textId="4D6C3C71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07E4" w14:textId="756095EF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alkene or benzene derivative</w:t>
            </w:r>
          </w:p>
        </w:tc>
      </w:tr>
      <w:tr w:rsidR="00EF14E8" w:rsidRPr="00EF14E8" w14:paraId="2EBFF0C6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BDB4" w14:textId="7455EE32" w:rsidR="00EF14E8" w:rsidRPr="00EF14E8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3026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6920" w14:textId="02507745" w:rsidR="00EF14E8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B616" w14:textId="51F09E4C" w:rsidR="00EF14E8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2C14" w14:textId="49A942AF" w:rsidR="00EF14E8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DD0D" w14:textId="59C029A8" w:rsidR="00EF14E8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alkene or benzene derivative</w:t>
            </w:r>
          </w:p>
        </w:tc>
      </w:tr>
      <w:tr w:rsidR="00475E35" w:rsidRPr="00EF14E8" w14:paraId="1E5D3EDB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C5FD" w14:textId="13701563" w:rsidR="00475E35" w:rsidRPr="00EF14E8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2963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2279" w14:textId="6D801E46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5233" w14:textId="6A63AF3D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4AFD" w14:textId="3D8E34EE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AB4C" w14:textId="5907FF44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alkyl C-H</w:t>
            </w:r>
          </w:p>
        </w:tc>
      </w:tr>
      <w:tr w:rsidR="00475E35" w:rsidRPr="00EF14E8" w14:paraId="7BDF1C3E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A2DF" w14:textId="7FC7DB87" w:rsidR="00475E35" w:rsidRPr="00EF14E8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2931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1DF5" w14:textId="67166820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E46B" w14:textId="544C0639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slightly br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C159" w14:textId="5744436F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636D" w14:textId="2644A34B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alkyl C-H</w:t>
            </w:r>
          </w:p>
        </w:tc>
      </w:tr>
      <w:tr w:rsidR="00475E35" w:rsidRPr="00EF14E8" w14:paraId="37DEBAB1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D286" w14:textId="3760C996" w:rsidR="00475E35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1648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A5298" w14:textId="2D7853B4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6AFC" w14:textId="0A996BA9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1040" w14:textId="1DA9C738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44C3" w14:textId="79B29189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conjugated with aromatic ring</w:t>
            </w:r>
          </w:p>
        </w:tc>
      </w:tr>
      <w:tr w:rsidR="00475E35" w:rsidRPr="00EF14E8" w14:paraId="56A9B7BF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62E9" w14:textId="096F379E" w:rsidR="00475E35" w:rsidRPr="00EF14E8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1601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8CDD" w14:textId="7C2FF043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DCD2" w14:textId="06CF7F47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124C" w14:textId="2B2BE55F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B552" w14:textId="4886D775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Aroma tic skeletal stretch</w:t>
            </w:r>
          </w:p>
        </w:tc>
      </w:tr>
      <w:tr w:rsidR="00475E35" w:rsidRPr="00EF14E8" w14:paraId="485E15BD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CBA2" w14:textId="1CDE0213" w:rsidR="00475E35" w:rsidRPr="00EF14E8" w:rsidRDefault="00475E35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1493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EED3" w14:textId="56212C4E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00DA" w14:textId="31D95561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69C2" w14:textId="3908DD9A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C=C stretch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2B04" w14:textId="60E3C1BA" w:rsidR="00475E35" w:rsidRPr="00EF14E8" w:rsidRDefault="008B61E1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aromatic skeletal stretch</w:t>
            </w:r>
          </w:p>
        </w:tc>
      </w:tr>
      <w:tr w:rsidR="00475E35" w:rsidRPr="00EF14E8" w14:paraId="545535F0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288C" w14:textId="55A0AA67" w:rsidR="00475E35" w:rsidRPr="00EF14E8" w:rsidRDefault="0090226D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1452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4EE9" w14:textId="5B8684C2" w:rsidR="00475E35" w:rsidRPr="00EF14E8" w:rsidRDefault="0090226D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287F" w14:textId="5AC0B159" w:rsidR="00475E35" w:rsidRPr="00EF14E8" w:rsidRDefault="0090226D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608A" w14:textId="5E12D81B" w:rsidR="00475E35" w:rsidRPr="00EF14E8" w:rsidRDefault="0090226D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bend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3DCA" w14:textId="221F77E9" w:rsidR="00475E35" w:rsidRPr="00EF14E8" w:rsidRDefault="0090226D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sp</w:t>
            </w:r>
            <w:r>
              <w:rPr>
                <w:bCs/>
                <w:vertAlign w:val="superscript"/>
                <w:lang w:val="en-NZ"/>
              </w:rPr>
              <w:t>3</w:t>
            </w:r>
            <w:r>
              <w:rPr>
                <w:bCs/>
                <w:lang w:val="en-NZ"/>
              </w:rPr>
              <w:t xml:space="preserve"> hybridised carbon</w:t>
            </w:r>
          </w:p>
        </w:tc>
      </w:tr>
      <w:tr w:rsidR="004A17A8" w:rsidRPr="00EF14E8" w14:paraId="64A5B99B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5656" w14:textId="32A0A62E" w:rsidR="004A17A8" w:rsidRDefault="004A17A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839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F7C9" w14:textId="581403B5" w:rsidR="004A17A8" w:rsidRDefault="004A17A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w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ABFF" w14:textId="1494B17C" w:rsidR="004A17A8" w:rsidRDefault="004A17A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FE2C" w14:textId="7985E205" w:rsidR="004A17A8" w:rsidRDefault="004A17A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deformation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C217" w14:textId="6679D51F" w:rsidR="004A17A8" w:rsidRPr="00EF14E8" w:rsidRDefault="004A17A8" w:rsidP="00EF14E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trisubstituted alkene</w:t>
            </w:r>
          </w:p>
        </w:tc>
      </w:tr>
      <w:tr w:rsidR="004A17A8" w:rsidRPr="00EF14E8" w14:paraId="05C8B79E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84C5" w14:textId="59628883" w:rsidR="004A17A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722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39A2" w14:textId="341BE587" w:rsidR="004A17A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BAF0" w14:textId="3B67E92E" w:rsidR="004A17A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8723" w14:textId="14B99179" w:rsidR="004A17A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deformation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56F5" w14:textId="14B6A66D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monosubstituted benzene derivative</w:t>
            </w:r>
          </w:p>
        </w:tc>
      </w:tr>
      <w:tr w:rsidR="004A17A8" w:rsidRPr="00EF14E8" w14:paraId="23DD4CB7" w14:textId="77777777" w:rsidTr="002807D0">
        <w:trPr>
          <w:trHeight w:val="528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F327" w14:textId="4072B02C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695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C6F4" w14:textId="4B84C72F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69C9" w14:textId="2E6D4CB3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3A7C" w14:textId="444A54BC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C-H deformation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6145" w14:textId="32A47D36" w:rsidR="004A17A8" w:rsidRPr="00EF14E8" w:rsidRDefault="004A17A8" w:rsidP="004A17A8">
            <w:pPr>
              <w:spacing w:after="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monosubstituted benzene derivative</w:t>
            </w:r>
          </w:p>
        </w:tc>
      </w:tr>
    </w:tbl>
    <w:p w14:paraId="415B79A7" w14:textId="77777777" w:rsidR="005C47F2" w:rsidRDefault="005C47F2" w:rsidP="00374373">
      <w:pPr>
        <w:jc w:val="both"/>
        <w:rPr>
          <w:bCs/>
          <w:lang w:val="en-NZ"/>
        </w:rPr>
      </w:pPr>
    </w:p>
    <w:p w14:paraId="630DF6AC" w14:textId="77777777" w:rsidR="006F4FDA" w:rsidRDefault="006F4FDA" w:rsidP="00374373">
      <w:pPr>
        <w:jc w:val="both"/>
        <w:rPr>
          <w:bCs/>
          <w:lang w:val="en-NZ"/>
        </w:rPr>
      </w:pPr>
    </w:p>
    <w:p w14:paraId="5255E93F" w14:textId="77777777" w:rsidR="006F4FDA" w:rsidRDefault="006F4FDA" w:rsidP="00374373">
      <w:pPr>
        <w:jc w:val="both"/>
        <w:rPr>
          <w:bCs/>
          <w:lang w:val="en-NZ"/>
        </w:rPr>
      </w:pPr>
    </w:p>
    <w:p w14:paraId="2BB098FE" w14:textId="77777777" w:rsidR="006F4FDA" w:rsidRDefault="006F4FDA" w:rsidP="00374373">
      <w:pPr>
        <w:jc w:val="both"/>
        <w:rPr>
          <w:bCs/>
          <w:lang w:val="en-NZ"/>
        </w:rPr>
      </w:pPr>
    </w:p>
    <w:p w14:paraId="1F1D7BE0" w14:textId="77777777" w:rsidR="006F4FDA" w:rsidRDefault="006F4FDA" w:rsidP="00374373">
      <w:pPr>
        <w:jc w:val="both"/>
        <w:rPr>
          <w:bCs/>
          <w:lang w:val="en-NZ"/>
        </w:rPr>
      </w:pPr>
    </w:p>
    <w:p w14:paraId="53C0390F" w14:textId="77777777" w:rsidR="006F4FDA" w:rsidRDefault="006F4FDA" w:rsidP="00374373">
      <w:pPr>
        <w:jc w:val="both"/>
        <w:rPr>
          <w:bCs/>
          <w:lang w:val="en-NZ"/>
        </w:rPr>
      </w:pPr>
    </w:p>
    <w:p w14:paraId="62C701F9" w14:textId="77777777" w:rsidR="006F4FDA" w:rsidRDefault="006F4FDA" w:rsidP="00374373">
      <w:pPr>
        <w:jc w:val="both"/>
        <w:rPr>
          <w:bCs/>
          <w:lang w:val="en-NZ"/>
        </w:rPr>
      </w:pPr>
    </w:p>
    <w:p w14:paraId="28F74FDC" w14:textId="77777777" w:rsidR="006F4FDA" w:rsidRDefault="006F4FDA" w:rsidP="00374373">
      <w:pPr>
        <w:jc w:val="both"/>
        <w:rPr>
          <w:bCs/>
          <w:lang w:val="en-NZ"/>
        </w:rPr>
      </w:pPr>
    </w:p>
    <w:p w14:paraId="749209D5" w14:textId="77777777" w:rsidR="006F4FDA" w:rsidRDefault="006F4FDA" w:rsidP="00374373">
      <w:pPr>
        <w:jc w:val="both"/>
        <w:rPr>
          <w:bCs/>
          <w:lang w:val="en-NZ"/>
        </w:rPr>
      </w:pPr>
    </w:p>
    <w:p w14:paraId="337F37A2" w14:textId="77777777" w:rsidR="006F4FDA" w:rsidRDefault="006F4FDA" w:rsidP="00374373">
      <w:pPr>
        <w:jc w:val="both"/>
        <w:rPr>
          <w:bCs/>
          <w:lang w:val="en-NZ"/>
        </w:rPr>
      </w:pPr>
    </w:p>
    <w:p w14:paraId="5C6E57A7" w14:textId="77777777" w:rsidR="006F4FDA" w:rsidRDefault="006F4FDA" w:rsidP="00374373">
      <w:pPr>
        <w:jc w:val="both"/>
        <w:rPr>
          <w:bCs/>
          <w:lang w:val="en-NZ"/>
        </w:rPr>
      </w:pPr>
    </w:p>
    <w:p w14:paraId="34868DB7" w14:textId="77777777" w:rsidR="005C47F2" w:rsidRDefault="005C47F2" w:rsidP="00374373">
      <w:pPr>
        <w:jc w:val="both"/>
        <w:rPr>
          <w:bCs/>
          <w:lang w:val="en-NZ"/>
        </w:rPr>
      </w:pPr>
    </w:p>
    <w:p w14:paraId="367DE542" w14:textId="77777777" w:rsidR="005C47F2" w:rsidRDefault="005C47F2" w:rsidP="00374373">
      <w:pPr>
        <w:jc w:val="both"/>
        <w:rPr>
          <w:bCs/>
          <w:lang w:val="en-NZ"/>
        </w:rPr>
      </w:pPr>
    </w:p>
    <w:p w14:paraId="18E945C5" w14:textId="3D4DA6EA" w:rsidR="005C47F2" w:rsidRDefault="005C47F2" w:rsidP="00374373">
      <w:pPr>
        <w:jc w:val="both"/>
        <w:rPr>
          <w:bCs/>
          <w:lang w:val="en-NZ"/>
        </w:rPr>
      </w:pPr>
      <w:r>
        <w:object w:dxaOrig="3029" w:dyaOrig="1505" w14:anchorId="7F3CAF1C">
          <v:shape id="_x0000_i1026" type="#_x0000_t75" style="width:198pt;height:99pt" o:ole="">
            <v:imagedata r:id="rId6" o:title=""/>
          </v:shape>
          <o:OLEObject Type="Embed" ProgID="ChemDraw_x64.Document.6.0" ShapeID="_x0000_i1026" DrawAspect="Content" ObjectID="_1809466801" r:id="rId7"/>
        </w:object>
      </w:r>
    </w:p>
    <w:p w14:paraId="00AE3144" w14:textId="33C33F96" w:rsidR="005C47F2" w:rsidRDefault="00666527" w:rsidP="00374373">
      <w:pPr>
        <w:jc w:val="both"/>
        <w:rPr>
          <w:bCs/>
          <w:lang w:val="en-NZ"/>
        </w:rPr>
      </w:pPr>
      <w:r>
        <w:object w:dxaOrig="2463" w:dyaOrig="1282" w14:anchorId="2AC41C8B">
          <v:shape id="_x0000_i1027" type="#_x0000_t75" style="width:196.5pt;height:102pt" o:ole="">
            <v:imagedata r:id="rId8" o:title=""/>
          </v:shape>
          <o:OLEObject Type="Embed" ProgID="ChemDraw_x64.Document.6.0" ShapeID="_x0000_i1027" DrawAspect="Content" ObjectID="_1809466802" r:id="rId9"/>
        </w:object>
      </w:r>
    </w:p>
    <w:p w14:paraId="28EF3C80" w14:textId="77777777" w:rsidR="00666527" w:rsidRDefault="00666527" w:rsidP="00374373">
      <w:pPr>
        <w:jc w:val="both"/>
        <w:rPr>
          <w:bCs/>
          <w:lang w:val="en-NZ"/>
        </w:rPr>
      </w:pPr>
    </w:p>
    <w:p w14:paraId="7668AF3E" w14:textId="5262CD9D" w:rsidR="004A17A8" w:rsidRPr="004A17A8" w:rsidRDefault="004A17A8" w:rsidP="004A17A8">
      <w:pPr>
        <w:jc w:val="both"/>
        <w:rPr>
          <w:bCs/>
          <w:i/>
          <w:u w:val="single"/>
          <w:lang w:val="en-NZ"/>
        </w:rPr>
      </w:pPr>
      <w:r w:rsidRPr="004A17A8">
        <w:rPr>
          <w:bCs/>
          <w:i/>
          <w:u w:val="single"/>
          <w:vertAlign w:val="superscript"/>
          <w:lang w:val="en-NZ"/>
        </w:rPr>
        <w:t>13</w:t>
      </w:r>
      <w:r w:rsidRPr="004A17A8">
        <w:rPr>
          <w:bCs/>
          <w:i/>
          <w:u w:val="single"/>
          <w:lang w:val="en-NZ"/>
        </w:rPr>
        <w:t>C NMR</w:t>
      </w:r>
      <w:r w:rsidR="00B96B28">
        <w:rPr>
          <w:bCs/>
          <w:i/>
          <w:u w:val="single"/>
          <w:lang w:val="en-NZ"/>
        </w:rPr>
        <w:t xml:space="preserve"> Intermediate product</w:t>
      </w:r>
      <w:r w:rsidRPr="004A17A8">
        <w:rPr>
          <w:bCs/>
          <w:i/>
          <w:u w:val="single"/>
          <w:lang w:val="en-NZ"/>
        </w:rPr>
        <w:t xml:space="preserve"> (125 MHz, CDCl</w:t>
      </w:r>
      <w:r w:rsidRPr="004A17A8">
        <w:rPr>
          <w:bCs/>
          <w:i/>
          <w:u w:val="single"/>
          <w:vertAlign w:val="subscript"/>
          <w:lang w:val="en-NZ"/>
        </w:rPr>
        <w:t>3</w:t>
      </w:r>
      <w:r w:rsidRPr="004A17A8">
        <w:rPr>
          <w:bCs/>
          <w:i/>
          <w:u w:val="single"/>
          <w:lang w:val="en-NZ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2412"/>
        <w:gridCol w:w="2412"/>
      </w:tblGrid>
      <w:tr w:rsidR="004A17A8" w:rsidRPr="004A17A8" w14:paraId="5AF294AB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E1A0" w14:textId="77777777" w:rsidR="004A17A8" w:rsidRPr="004A17A8" w:rsidRDefault="004A17A8" w:rsidP="004A17A8">
            <w:pPr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d/ppm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7398" w14:textId="77777777" w:rsidR="004A17A8" w:rsidRPr="004A17A8" w:rsidRDefault="004A17A8" w:rsidP="004A17A8">
            <w:pPr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HETCOR</w:t>
            </w:r>
            <w:r w:rsidRPr="004A17A8">
              <w:rPr>
                <w:b/>
                <w:bCs/>
                <w:lang w:val="en-NZ"/>
              </w:rPr>
              <w:br/>
              <w:t>shows coupling to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5819" w14:textId="77777777" w:rsidR="004A17A8" w:rsidRPr="004A17A8" w:rsidRDefault="004A17A8" w:rsidP="004A17A8">
            <w:pPr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Assignment</w:t>
            </w:r>
          </w:p>
        </w:tc>
      </w:tr>
      <w:tr w:rsidR="004A17A8" w:rsidRPr="004A17A8" w14:paraId="030FEABE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80D0" w14:textId="6CF1BDD9" w:rsidR="004A17A8" w:rsidRPr="004A17A8" w:rsidRDefault="00865EF7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</w:t>
            </w:r>
            <w:r w:rsidR="005B0D75">
              <w:rPr>
                <w:bCs/>
                <w:lang w:val="en-NZ"/>
              </w:rPr>
              <w:t>30.6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7705" w14:textId="77777777" w:rsidR="004A17A8" w:rsidRPr="004A17A8" w:rsidRDefault="004A17A8" w:rsidP="00865EF7">
            <w:pPr>
              <w:spacing w:before="120"/>
              <w:jc w:val="center"/>
              <w:rPr>
                <w:bCs/>
                <w:lang w:val="en-NZ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AAEC" w14:textId="1B50FC7B" w:rsidR="004A17A8" w:rsidRPr="004A17A8" w:rsidRDefault="003D5066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C-1, C-5</w:t>
            </w:r>
          </w:p>
        </w:tc>
      </w:tr>
      <w:tr w:rsidR="004A17A8" w:rsidRPr="004A17A8" w14:paraId="34B519F2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27AF" w14:textId="3F1F5E4C" w:rsidR="004A17A8" w:rsidRPr="004A17A8" w:rsidRDefault="00865EF7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128.</w:t>
            </w:r>
            <w:r w:rsidR="005B0D75">
              <w:rPr>
                <w:bCs/>
                <w:lang w:val="en-NZ"/>
              </w:rPr>
              <w:t>2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1F1" w14:textId="41A42658" w:rsidR="004A17A8" w:rsidRPr="004A17A8" w:rsidRDefault="002C3324" w:rsidP="00865EF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 w:rsidR="002D1A56">
              <w:rPr>
                <w:bCs/>
                <w:vertAlign w:val="subscript"/>
                <w:lang w:val="en-NZ"/>
              </w:rPr>
              <w:t>1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0253" w14:textId="2FFB60AC" w:rsidR="004A17A8" w:rsidRPr="004A17A8" w:rsidRDefault="003D5066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C-2, C-4</w:t>
            </w:r>
          </w:p>
        </w:tc>
      </w:tr>
      <w:tr w:rsidR="004A17A8" w:rsidRPr="004A17A8" w14:paraId="618E422E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330E" w14:textId="37D3659A" w:rsidR="004A17A8" w:rsidRPr="004A17A8" w:rsidRDefault="00865EF7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12</w:t>
            </w:r>
            <w:r w:rsidR="005B0D75">
              <w:rPr>
                <w:bCs/>
                <w:lang w:val="en-NZ"/>
              </w:rPr>
              <w:t>6.4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6746" w14:textId="6D4BC51C" w:rsidR="004A17A8" w:rsidRPr="004A17A8" w:rsidRDefault="002C3324" w:rsidP="00865EF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3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8AF9" w14:textId="2C21B91F" w:rsidR="004A17A8" w:rsidRPr="004A17A8" w:rsidRDefault="003D5066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C-3</w:t>
            </w:r>
          </w:p>
        </w:tc>
      </w:tr>
      <w:tr w:rsidR="004A17A8" w:rsidRPr="004A17A8" w14:paraId="4B65C82E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D9BF" w14:textId="189BFE44" w:rsidR="004A17A8" w:rsidRPr="004A17A8" w:rsidRDefault="005B0D75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74.6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319A" w14:textId="49D00DF5" w:rsidR="004A17A8" w:rsidRPr="004A17A8" w:rsidRDefault="002D1A56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CA25" w14:textId="573ABE9F" w:rsidR="004A17A8" w:rsidRPr="004A17A8" w:rsidRDefault="003D5066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C-8</w:t>
            </w:r>
          </w:p>
        </w:tc>
      </w:tr>
      <w:tr w:rsidR="00865EF7" w:rsidRPr="004A17A8" w14:paraId="356332D6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8719" w14:textId="77583E6B" w:rsidR="00865EF7" w:rsidRDefault="005B0D75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44.8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79A9" w14:textId="59771E3E" w:rsidR="00865EF7" w:rsidRPr="002D1A56" w:rsidRDefault="002D1A56" w:rsidP="00865EF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4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2F58" w14:textId="0D283FCB" w:rsidR="00865EF7" w:rsidRPr="004A17A8" w:rsidRDefault="009607EA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C-7</w:t>
            </w:r>
          </w:p>
        </w:tc>
      </w:tr>
      <w:tr w:rsidR="00865EF7" w:rsidRPr="004A17A8" w14:paraId="6B1796B6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C362" w14:textId="3988F790" w:rsidR="00865EF7" w:rsidRDefault="005B0D75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30.5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52A7" w14:textId="42568A30" w:rsidR="00865EF7" w:rsidRPr="002D1A56" w:rsidRDefault="002D1A56" w:rsidP="00865EF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6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B884" w14:textId="669C657F" w:rsidR="00865EF7" w:rsidRPr="004A17A8" w:rsidRDefault="009607EA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C-9, C-11</w:t>
            </w:r>
          </w:p>
        </w:tc>
      </w:tr>
      <w:tr w:rsidR="00865EF7" w:rsidRPr="004A17A8" w14:paraId="2BF66CC1" w14:textId="77777777" w:rsidTr="004A17A8"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AE64" w14:textId="154AEE5C" w:rsidR="00865EF7" w:rsidRDefault="005B0D75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8.0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B2A" w14:textId="2DEBB70E" w:rsidR="00865EF7" w:rsidRPr="002D1A56" w:rsidRDefault="002D1A56" w:rsidP="00865EF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7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33A7" w14:textId="636524AC" w:rsidR="00865EF7" w:rsidRPr="004A17A8" w:rsidRDefault="009607EA" w:rsidP="00865EF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C-10, C-12</w:t>
            </w:r>
          </w:p>
        </w:tc>
      </w:tr>
    </w:tbl>
    <w:p w14:paraId="5AC96E43" w14:textId="77777777" w:rsidR="004A17A8" w:rsidRDefault="004A17A8" w:rsidP="00374373">
      <w:pPr>
        <w:jc w:val="both"/>
        <w:rPr>
          <w:bCs/>
          <w:lang w:val="en-NZ"/>
        </w:rPr>
      </w:pPr>
    </w:p>
    <w:p w14:paraId="5D220F64" w14:textId="5A242640" w:rsidR="004A17A8" w:rsidRPr="004A17A8" w:rsidRDefault="004A17A8" w:rsidP="004A17A8">
      <w:pPr>
        <w:jc w:val="both"/>
        <w:rPr>
          <w:bCs/>
          <w:i/>
          <w:u w:val="single"/>
          <w:lang w:val="en-NZ"/>
        </w:rPr>
      </w:pPr>
      <w:r w:rsidRPr="004A17A8">
        <w:rPr>
          <w:bCs/>
          <w:i/>
          <w:u w:val="single"/>
          <w:vertAlign w:val="superscript"/>
          <w:lang w:val="en-NZ"/>
        </w:rPr>
        <w:t>1</w:t>
      </w:r>
      <w:r w:rsidRPr="004A17A8">
        <w:rPr>
          <w:bCs/>
          <w:i/>
          <w:u w:val="single"/>
          <w:lang w:val="en-NZ"/>
        </w:rPr>
        <w:t>H NMR</w:t>
      </w:r>
      <w:r w:rsidR="00B96B28">
        <w:rPr>
          <w:bCs/>
          <w:i/>
          <w:u w:val="single"/>
          <w:lang w:val="en-NZ"/>
        </w:rPr>
        <w:t xml:space="preserve"> Intermediate product</w:t>
      </w:r>
      <w:r w:rsidRPr="004A17A8">
        <w:rPr>
          <w:bCs/>
          <w:i/>
          <w:u w:val="single"/>
          <w:lang w:val="en-NZ"/>
        </w:rPr>
        <w:t xml:space="preserve"> (500 MHz, CDCl</w:t>
      </w:r>
      <w:r w:rsidRPr="004A17A8">
        <w:rPr>
          <w:bCs/>
          <w:i/>
          <w:u w:val="single"/>
          <w:vertAlign w:val="subscript"/>
          <w:lang w:val="en-NZ"/>
        </w:rPr>
        <w:t>3</w:t>
      </w:r>
      <w:r w:rsidRPr="004A17A8">
        <w:rPr>
          <w:bCs/>
          <w:i/>
          <w:u w:val="single"/>
          <w:lang w:val="en-NZ"/>
        </w:rPr>
        <w:t>)</w:t>
      </w:r>
    </w:p>
    <w:tbl>
      <w:tblPr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1852"/>
        <w:gridCol w:w="1850"/>
        <w:gridCol w:w="1851"/>
        <w:gridCol w:w="1851"/>
      </w:tblGrid>
      <w:tr w:rsidR="004A17A8" w:rsidRPr="004A17A8" w14:paraId="255F7964" w14:textId="77777777" w:rsidTr="004A17A8">
        <w:trPr>
          <w:trHeight w:val="728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6197" w14:textId="77777777" w:rsidR="004A17A8" w:rsidRPr="004A17A8" w:rsidRDefault="004A17A8" w:rsidP="00C01012">
            <w:pPr>
              <w:spacing w:before="12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d/ppm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DE23" w14:textId="77777777" w:rsidR="004A17A8" w:rsidRPr="004A17A8" w:rsidRDefault="004A17A8" w:rsidP="00C01012">
            <w:pPr>
              <w:spacing w:before="12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Integration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F96FF" w14:textId="77777777" w:rsidR="004A17A8" w:rsidRPr="004A17A8" w:rsidRDefault="004A17A8" w:rsidP="00C01012">
            <w:pPr>
              <w:spacing w:before="12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multiplicity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38A" w14:textId="191983B1" w:rsidR="004A17A8" w:rsidRPr="004A17A8" w:rsidRDefault="00C01012" w:rsidP="00C01012">
            <w:pPr>
              <w:spacing w:before="12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J/Hz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9A19" w14:textId="77777777" w:rsidR="004A17A8" w:rsidRPr="004A17A8" w:rsidRDefault="004A17A8" w:rsidP="00C01012">
            <w:pPr>
              <w:spacing w:before="12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Assignment</w:t>
            </w:r>
          </w:p>
        </w:tc>
      </w:tr>
      <w:tr w:rsidR="004A17A8" w:rsidRPr="004A17A8" w14:paraId="2EABB527" w14:textId="77777777" w:rsidTr="004A17A8">
        <w:trPr>
          <w:trHeight w:val="42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AFAB" w14:textId="4C169A4F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7.28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11C2" w14:textId="372FFC8A" w:rsidR="004A17A8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02C3" w14:textId="5BF6BE94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D106" w14:textId="26002F50" w:rsidR="004A17A8" w:rsidRPr="004A17A8" w:rsidRDefault="002C3324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B962" w14:textId="329BF2D7" w:rsidR="004A17A8" w:rsidRPr="004A17A8" w:rsidRDefault="002C3324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2</w:t>
            </w:r>
            <w:r>
              <w:rPr>
                <w:bCs/>
                <w:lang w:val="en-NZ"/>
              </w:rPr>
              <w:t>, H</w:t>
            </w:r>
            <w:r>
              <w:rPr>
                <w:bCs/>
                <w:vertAlign w:val="subscript"/>
                <w:lang w:val="en-NZ"/>
              </w:rPr>
              <w:t>3</w:t>
            </w:r>
          </w:p>
        </w:tc>
      </w:tr>
      <w:tr w:rsidR="004A17A8" w:rsidRPr="004A17A8" w14:paraId="23FC5E21" w14:textId="77777777" w:rsidTr="004A17A8">
        <w:trPr>
          <w:trHeight w:val="42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56C3" w14:textId="0FE0F2CB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7.23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628" w14:textId="375F3AE7" w:rsidR="004A17A8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62AB" w14:textId="23FA1600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m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EE32" w14:textId="7023C615" w:rsidR="004A17A8" w:rsidRPr="004A17A8" w:rsidRDefault="002C3324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D738" w14:textId="17C3DDFE" w:rsidR="004A17A8" w:rsidRPr="004A17A8" w:rsidRDefault="002C3324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1</w:t>
            </w:r>
          </w:p>
        </w:tc>
      </w:tr>
      <w:tr w:rsidR="004A17A8" w:rsidRPr="004A17A8" w14:paraId="3CB27808" w14:textId="77777777" w:rsidTr="004A17A8">
        <w:trPr>
          <w:trHeight w:val="42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E936" w14:textId="3F110C0C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2.75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928F" w14:textId="15A59DC5" w:rsidR="004A17A8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5EE7" w14:textId="70CC014F" w:rsidR="004A17A8" w:rsidRPr="004A17A8" w:rsidRDefault="00C01012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8D6C" w14:textId="27731269" w:rsidR="004A17A8" w:rsidRPr="004A17A8" w:rsidRDefault="002C3324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4958" w14:textId="2E6C31AB" w:rsidR="004A17A8" w:rsidRPr="004A17A8" w:rsidRDefault="002C3324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4</w:t>
            </w:r>
          </w:p>
        </w:tc>
      </w:tr>
      <w:tr w:rsidR="004A17A8" w:rsidRPr="004A17A8" w14:paraId="2A321283" w14:textId="77777777" w:rsidTr="004A17A8">
        <w:trPr>
          <w:trHeight w:val="42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9430" w14:textId="7863FE27" w:rsidR="004A17A8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1.46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C1A3" w14:textId="27E00E3C" w:rsidR="004A17A8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8002" w14:textId="0B79EEBF" w:rsidR="004A17A8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proofErr w:type="spellStart"/>
            <w:r>
              <w:rPr>
                <w:bCs/>
                <w:lang w:val="en-NZ"/>
              </w:rPr>
              <w:t>qd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6E85" w14:textId="0A848431" w:rsidR="004A17A8" w:rsidRPr="004A17A8" w:rsidRDefault="002C3324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7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BB16" w14:textId="0FF94047" w:rsidR="004A17A8" w:rsidRPr="004A17A8" w:rsidRDefault="002C3324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6</w:t>
            </w:r>
          </w:p>
        </w:tc>
      </w:tr>
      <w:tr w:rsidR="00666527" w:rsidRPr="004A17A8" w14:paraId="27D2664B" w14:textId="77777777" w:rsidTr="004A17A8">
        <w:trPr>
          <w:trHeight w:val="42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BAE3" w14:textId="4FEA20E2" w:rsidR="00666527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0.93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3CC0" w14:textId="58AFF55F" w:rsidR="00666527" w:rsidRPr="004A17A8" w:rsidRDefault="0091749F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8AFD" w14:textId="0A310092" w:rsidR="00666527" w:rsidRPr="004A17A8" w:rsidRDefault="00666527" w:rsidP="00666527">
            <w:pPr>
              <w:spacing w:before="120"/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B7D" w14:textId="01723696" w:rsidR="00666527" w:rsidRPr="002C3324" w:rsidRDefault="002C3324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6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915D" w14:textId="324FA443" w:rsidR="00666527" w:rsidRPr="00666527" w:rsidRDefault="00666527" w:rsidP="00666527">
            <w:pPr>
              <w:spacing w:before="120"/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7</w:t>
            </w:r>
          </w:p>
        </w:tc>
      </w:tr>
    </w:tbl>
    <w:p w14:paraId="6D604325" w14:textId="77777777" w:rsidR="004A17A8" w:rsidRDefault="004A17A8" w:rsidP="00374373">
      <w:pPr>
        <w:jc w:val="both"/>
        <w:rPr>
          <w:bCs/>
          <w:lang w:val="en-NZ"/>
        </w:rPr>
      </w:pPr>
    </w:p>
    <w:p w14:paraId="13A4B669" w14:textId="77777777" w:rsidR="009607EA" w:rsidRDefault="009607EA" w:rsidP="00374373">
      <w:pPr>
        <w:jc w:val="both"/>
        <w:rPr>
          <w:bCs/>
          <w:lang w:val="en-NZ"/>
        </w:rPr>
      </w:pPr>
    </w:p>
    <w:p w14:paraId="7CEBE6B5" w14:textId="77777777" w:rsidR="009607EA" w:rsidRDefault="009607EA" w:rsidP="00374373">
      <w:pPr>
        <w:jc w:val="both"/>
        <w:rPr>
          <w:bCs/>
          <w:lang w:val="en-NZ"/>
        </w:rPr>
      </w:pPr>
    </w:p>
    <w:p w14:paraId="5502912A" w14:textId="27CF571F" w:rsidR="00B96B28" w:rsidRDefault="00A83AC3" w:rsidP="00374373">
      <w:pPr>
        <w:jc w:val="both"/>
      </w:pPr>
      <w:r>
        <w:object w:dxaOrig="6403" w:dyaOrig="1144" w14:anchorId="40586C12">
          <v:shape id="_x0000_i1148" type="#_x0000_t75" style="width:464.25pt;height:82.5pt" o:ole="">
            <v:imagedata r:id="rId10" o:title=""/>
          </v:shape>
          <o:OLEObject Type="Embed" ProgID="ChemDraw_x64.Document.6.0" ShapeID="_x0000_i1148" DrawAspect="Content" ObjectID="_1809466803" r:id="rId11"/>
        </w:object>
      </w:r>
    </w:p>
    <w:p w14:paraId="2EF6823E" w14:textId="5AE8EF2A" w:rsidR="00B96B28" w:rsidRPr="004A17A8" w:rsidRDefault="00B96B28" w:rsidP="00B96B28">
      <w:pPr>
        <w:jc w:val="both"/>
        <w:rPr>
          <w:bCs/>
          <w:i/>
          <w:u w:val="single"/>
          <w:lang w:val="en-NZ"/>
        </w:rPr>
      </w:pPr>
      <w:r w:rsidRPr="004A17A8">
        <w:rPr>
          <w:bCs/>
          <w:i/>
          <w:u w:val="single"/>
          <w:vertAlign w:val="superscript"/>
          <w:lang w:val="en-NZ"/>
        </w:rPr>
        <w:t>1</w:t>
      </w:r>
      <w:r w:rsidRPr="004A17A8">
        <w:rPr>
          <w:bCs/>
          <w:i/>
          <w:u w:val="single"/>
          <w:lang w:val="en-NZ"/>
        </w:rPr>
        <w:t xml:space="preserve">H NMR </w:t>
      </w:r>
      <w:r>
        <w:rPr>
          <w:bCs/>
          <w:i/>
          <w:u w:val="single"/>
          <w:lang w:val="en-NZ"/>
        </w:rPr>
        <w:t xml:space="preserve">Final product </w:t>
      </w:r>
      <w:r w:rsidRPr="004A17A8">
        <w:rPr>
          <w:bCs/>
          <w:i/>
          <w:u w:val="single"/>
          <w:lang w:val="en-NZ"/>
        </w:rPr>
        <w:t>(500 MHz, CDCl</w:t>
      </w:r>
      <w:r w:rsidRPr="004A17A8">
        <w:rPr>
          <w:bCs/>
          <w:i/>
          <w:u w:val="single"/>
          <w:vertAlign w:val="subscript"/>
          <w:lang w:val="en-NZ"/>
        </w:rPr>
        <w:t>3</w:t>
      </w:r>
      <w:r w:rsidRPr="004A17A8">
        <w:rPr>
          <w:bCs/>
          <w:i/>
          <w:u w:val="single"/>
          <w:lang w:val="en-NZ"/>
        </w:rPr>
        <w:t>)</w:t>
      </w:r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573"/>
        <w:gridCol w:w="1571"/>
        <w:gridCol w:w="1572"/>
        <w:gridCol w:w="1572"/>
        <w:gridCol w:w="1572"/>
      </w:tblGrid>
      <w:tr w:rsidR="00820163" w:rsidRPr="004A17A8" w14:paraId="51B01286" w14:textId="77777777" w:rsidTr="00FF4979">
        <w:trPr>
          <w:trHeight w:val="768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4064" w14:textId="77777777" w:rsidR="00820163" w:rsidRPr="004A17A8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d/ppm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61B31" w14:textId="77777777" w:rsidR="00820163" w:rsidRPr="004A17A8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Integration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DD8A1" w14:textId="77777777" w:rsidR="00820163" w:rsidRPr="004A17A8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multiplicity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7839A" w14:textId="337304FC" w:rsidR="00820163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J/Hz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6A50" w14:textId="53D77886" w:rsidR="00820163" w:rsidRPr="004A17A8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NOESY</w:t>
            </w:r>
            <w:r w:rsidRPr="004A17A8">
              <w:rPr>
                <w:b/>
                <w:bCs/>
                <w:lang w:val="en-NZ"/>
              </w:rPr>
              <w:t xml:space="preserve"> shows coupling to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4007" w14:textId="77777777" w:rsidR="00820163" w:rsidRPr="004A17A8" w:rsidRDefault="00820163" w:rsidP="00820163">
            <w:pPr>
              <w:spacing w:before="120" w:after="0"/>
              <w:jc w:val="center"/>
              <w:rPr>
                <w:b/>
                <w:bCs/>
                <w:lang w:val="en-NZ"/>
              </w:rPr>
            </w:pPr>
            <w:r w:rsidRPr="004A17A8">
              <w:rPr>
                <w:b/>
                <w:bCs/>
                <w:lang w:val="en-NZ"/>
              </w:rPr>
              <w:t>Assignment</w:t>
            </w:r>
          </w:p>
        </w:tc>
      </w:tr>
      <w:tr w:rsidR="00820163" w:rsidRPr="004A17A8" w14:paraId="53EBE8C7" w14:textId="77777777" w:rsidTr="00820163">
        <w:trPr>
          <w:trHeight w:val="44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918B" w14:textId="7B7F9E10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6.28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6CCB" w14:textId="5EEAC9A0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1.00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85C8" w14:textId="031B0275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3A91" w14:textId="5E930087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200" w14:textId="48C05308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1365" w14:textId="41CF2C6A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a</w:t>
            </w:r>
          </w:p>
        </w:tc>
      </w:tr>
      <w:tr w:rsidR="00820163" w:rsidRPr="004A17A8" w14:paraId="777691C8" w14:textId="77777777" w:rsidTr="00820163">
        <w:trPr>
          <w:trHeight w:val="44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EC7E" w14:textId="170B32F9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5.45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5B36" w14:textId="25D22742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1.10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24B8" w14:textId="3E3A0677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q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D4E3" w14:textId="12172BD5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6.7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9BA8" w14:textId="0F598C4B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5CC4" w14:textId="2B199CB3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b</w:t>
            </w:r>
          </w:p>
        </w:tc>
      </w:tr>
      <w:tr w:rsidR="00820163" w:rsidRPr="004A17A8" w14:paraId="360505FF" w14:textId="77777777" w:rsidTr="00820163">
        <w:trPr>
          <w:trHeight w:val="44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A9E8" w14:textId="213993A1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5.27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F3AF" w14:textId="34F8C451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1.03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6894" w14:textId="75282F3A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q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F54A" w14:textId="641D2B0F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6.7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ADBC" w14:textId="1F5EF8C9" w:rsidR="00820163" w:rsidRPr="00DC6793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3F96F" w14:textId="7C6790D9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c</w:t>
            </w:r>
          </w:p>
        </w:tc>
      </w:tr>
      <w:tr w:rsidR="00820163" w:rsidRPr="004A17A8" w14:paraId="54DA491E" w14:textId="77777777" w:rsidTr="00820163">
        <w:trPr>
          <w:trHeight w:val="44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CC23" w14:textId="5A9362AB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3.45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3E37" w14:textId="67CF95E9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2.25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CC93" w14:textId="21B6F67F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FDD9" w14:textId="27286CEA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0257" w14:textId="1D20C930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c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7C66" w14:textId="08F20DBB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d</w:t>
            </w:r>
          </w:p>
        </w:tc>
      </w:tr>
      <w:tr w:rsidR="00820163" w:rsidRPr="004A17A8" w14:paraId="64E7B07D" w14:textId="77777777" w:rsidTr="00820163">
        <w:trPr>
          <w:trHeight w:val="44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C5F9" w14:textId="32F18304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3.34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E674" w14:textId="43E23568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2.15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D9DE" w14:textId="21A8B00B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FE85" w14:textId="54E70B7F" w:rsidR="00820163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D871" w14:textId="72612547" w:rsidR="00820163" w:rsidRPr="004A17A8" w:rsidRDefault="00820163" w:rsidP="00820163">
            <w:pPr>
              <w:jc w:val="center"/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~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22C5" w14:textId="6924A24A" w:rsidR="00820163" w:rsidRPr="00A757D9" w:rsidRDefault="00820163" w:rsidP="00820163">
            <w:pPr>
              <w:jc w:val="center"/>
              <w:rPr>
                <w:bCs/>
                <w:vertAlign w:val="subscript"/>
                <w:lang w:val="en-NZ"/>
              </w:rPr>
            </w:pPr>
            <w:r>
              <w:rPr>
                <w:bCs/>
                <w:lang w:val="en-NZ"/>
              </w:rPr>
              <w:t>H</w:t>
            </w:r>
            <w:r>
              <w:rPr>
                <w:bCs/>
                <w:vertAlign w:val="subscript"/>
                <w:lang w:val="en-NZ"/>
              </w:rPr>
              <w:t>e</w:t>
            </w:r>
          </w:p>
        </w:tc>
      </w:tr>
    </w:tbl>
    <w:p w14:paraId="6D85540E" w14:textId="77777777" w:rsidR="00B96B28" w:rsidRDefault="00B96B28" w:rsidP="00374373">
      <w:pPr>
        <w:jc w:val="both"/>
        <w:rPr>
          <w:bCs/>
          <w:lang w:val="en-NZ"/>
        </w:rPr>
      </w:pPr>
    </w:p>
    <w:p w14:paraId="7A780360" w14:textId="35995C14" w:rsidR="00820163" w:rsidRDefault="00820163" w:rsidP="00374373">
      <w:pPr>
        <w:jc w:val="both"/>
        <w:rPr>
          <w:bCs/>
          <w:lang w:val="en-NZ"/>
        </w:rPr>
      </w:pPr>
      <w:r>
        <w:rPr>
          <w:bCs/>
          <w:lang w:val="en-NZ"/>
        </w:rPr>
        <w:t xml:space="preserve">The olefinic region (6.3-5.0 ppm) of the </w:t>
      </w:r>
      <w:r>
        <w:rPr>
          <w:bCs/>
          <w:vertAlign w:val="superscript"/>
          <w:lang w:val="en-NZ"/>
        </w:rPr>
        <w:t>1</w:t>
      </w:r>
      <w:r>
        <w:rPr>
          <w:bCs/>
          <w:lang w:val="en-NZ"/>
        </w:rPr>
        <w:t>H-NMr spectrum contained three well-seperated signals that each integrated for a single proton. The most down-field resonance, a singlet at 6.28 ppm was assigned to H</w:t>
      </w:r>
      <w:r>
        <w:rPr>
          <w:bCs/>
          <w:vertAlign w:val="subscript"/>
          <w:lang w:val="en-NZ"/>
        </w:rPr>
        <w:t>a</w:t>
      </w:r>
      <w:r>
        <w:rPr>
          <w:bCs/>
          <w:lang w:val="en-NZ"/>
        </w:rPr>
        <w:t xml:space="preserve">, the vinylic proton of the conjugated product, because conjugation with the aromatic ring is expected to deshield the proton by 0.7 ppm relative to a simple internal alkene. Two further quartets, at 5.45 and 5.27 ppm (J = 6.7 Hz) were attributed to the vinylic protons of the two possible internal alkenes. The quartet at 5.45 ppm showed no through-space correlation to any benzylic signal in the NOESY spectrum and was </w:t>
      </w:r>
      <w:r w:rsidR="004A635C">
        <w:rPr>
          <w:bCs/>
          <w:lang w:val="en-NZ"/>
        </w:rPr>
        <w:t>therefore</w:t>
      </w:r>
      <w:r>
        <w:rPr>
          <w:bCs/>
          <w:lang w:val="en-NZ"/>
        </w:rPr>
        <w:t xml:space="preserve"> assign to H</w:t>
      </w:r>
      <w:r w:rsidR="004A635C">
        <w:rPr>
          <w:bCs/>
          <w:vertAlign w:val="subscript"/>
          <w:lang w:val="en-NZ"/>
        </w:rPr>
        <w:t>c</w:t>
      </w:r>
      <w:r>
        <w:rPr>
          <w:bCs/>
          <w:lang w:val="en-NZ"/>
        </w:rPr>
        <w:t>, the E-isomer. The quartet at 5.27 ppm displayed a clear through-space correlation to a benzylic proton at 3.45 ppm, placing the olefinic and benzylic protons on the same side of the double bond and confirming it as H</w:t>
      </w:r>
      <w:r w:rsidR="004A635C">
        <w:rPr>
          <w:bCs/>
          <w:vertAlign w:val="subscript"/>
          <w:lang w:val="en-NZ"/>
        </w:rPr>
        <w:t>b</w:t>
      </w:r>
      <w:r w:rsidR="004A635C">
        <w:rPr>
          <w:bCs/>
          <w:lang w:val="en-NZ"/>
        </w:rPr>
        <w:t xml:space="preserve"> of the Z-isomer.</w:t>
      </w:r>
    </w:p>
    <w:p w14:paraId="3A8F234D" w14:textId="7DAB5D90" w:rsidR="004A635C" w:rsidRDefault="004A635C" w:rsidP="00374373">
      <w:pPr>
        <w:jc w:val="both"/>
        <w:rPr>
          <w:bCs/>
          <w:lang w:val="en-NZ"/>
        </w:rPr>
      </w:pPr>
      <w:r>
        <w:rPr>
          <w:bCs/>
          <w:lang w:val="en-NZ"/>
        </w:rPr>
        <w:t xml:space="preserve">Only the two internal </w:t>
      </w:r>
      <w:proofErr w:type="gramStart"/>
      <w:r>
        <w:rPr>
          <w:bCs/>
          <w:lang w:val="en-NZ"/>
        </w:rPr>
        <w:t>alkene</w:t>
      </w:r>
      <w:proofErr w:type="gramEnd"/>
      <w:r>
        <w:rPr>
          <w:bCs/>
          <w:lang w:val="en-NZ"/>
        </w:rPr>
        <w:t xml:space="preserve"> retain the benzylic CH</w:t>
      </w:r>
      <w:r>
        <w:rPr>
          <w:bCs/>
          <w:vertAlign w:val="subscript"/>
          <w:lang w:val="en-NZ"/>
        </w:rPr>
        <w:t>2</w:t>
      </w:r>
      <w:r>
        <w:rPr>
          <w:bCs/>
          <w:lang w:val="en-NZ"/>
        </w:rPr>
        <w:t xml:space="preserve"> group, and two singlets at 3.45 ppm (H</w:t>
      </w:r>
      <w:r>
        <w:rPr>
          <w:bCs/>
          <w:vertAlign w:val="subscript"/>
          <w:lang w:val="en-NZ"/>
        </w:rPr>
        <w:t>d</w:t>
      </w:r>
      <w:r>
        <w:rPr>
          <w:bCs/>
          <w:lang w:val="en-NZ"/>
        </w:rPr>
        <w:t>) and 3.34 ppm (H</w:t>
      </w:r>
      <w:r>
        <w:rPr>
          <w:bCs/>
          <w:vertAlign w:val="subscript"/>
          <w:lang w:val="en-NZ"/>
        </w:rPr>
        <w:t>e</w:t>
      </w:r>
      <w:r>
        <w:rPr>
          <w:bCs/>
          <w:lang w:val="en-NZ"/>
        </w:rPr>
        <w:t>) together integrated for 4.40 H. the NOESY cross-peak between the 3.45 ppm and 5.27 ppm quartet linked these signal to the Z-alkene, leaving the singlet at 3.45 ppm as the benzylic CH</w:t>
      </w:r>
      <w:r>
        <w:rPr>
          <w:bCs/>
          <w:vertAlign w:val="subscript"/>
          <w:lang w:val="en-NZ"/>
        </w:rPr>
        <w:t>2</w:t>
      </w:r>
      <w:r>
        <w:rPr>
          <w:bCs/>
          <w:lang w:val="en-NZ"/>
        </w:rPr>
        <w:t xml:space="preserve"> of the E-isomer. </w:t>
      </w:r>
    </w:p>
    <w:p w14:paraId="404A0B75" w14:textId="77777777" w:rsidR="00F13895" w:rsidRDefault="00F13895" w:rsidP="00374373">
      <w:pPr>
        <w:jc w:val="both"/>
        <w:rPr>
          <w:bCs/>
          <w:lang w:val="en-NZ"/>
        </w:rPr>
      </w:pPr>
    </w:p>
    <w:p w14:paraId="51AEF61B" w14:textId="77777777" w:rsidR="00F13895" w:rsidRDefault="00F13895" w:rsidP="00374373">
      <w:pPr>
        <w:jc w:val="both"/>
        <w:rPr>
          <w:bCs/>
          <w:lang w:val="en-NZ"/>
        </w:rPr>
      </w:pPr>
    </w:p>
    <w:p w14:paraId="49AE8FB4" w14:textId="77777777" w:rsidR="00F13895" w:rsidRDefault="00F13895" w:rsidP="00374373">
      <w:pPr>
        <w:jc w:val="both"/>
        <w:rPr>
          <w:bCs/>
          <w:lang w:val="en-NZ"/>
        </w:rPr>
      </w:pPr>
    </w:p>
    <w:p w14:paraId="4A0DF34C" w14:textId="77777777" w:rsidR="00F13895" w:rsidRDefault="00F13895" w:rsidP="00374373">
      <w:pPr>
        <w:jc w:val="both"/>
        <w:rPr>
          <w:bCs/>
          <w:lang w:val="en-NZ"/>
        </w:rPr>
      </w:pPr>
    </w:p>
    <w:p w14:paraId="4CAAE68D" w14:textId="77777777" w:rsidR="00F13895" w:rsidRDefault="00F13895" w:rsidP="00374373">
      <w:pPr>
        <w:jc w:val="both"/>
        <w:rPr>
          <w:bCs/>
          <w:lang w:val="en-NZ"/>
        </w:rPr>
      </w:pPr>
    </w:p>
    <w:p w14:paraId="779AD405" w14:textId="77777777" w:rsidR="00F13895" w:rsidRDefault="00F13895" w:rsidP="00374373">
      <w:pPr>
        <w:jc w:val="both"/>
        <w:rPr>
          <w:bCs/>
          <w:lang w:val="en-NZ"/>
        </w:rPr>
      </w:pPr>
    </w:p>
    <w:p w14:paraId="59FA6415" w14:textId="77777777" w:rsidR="00F13895" w:rsidRPr="004A635C" w:rsidRDefault="00F13895" w:rsidP="00374373">
      <w:pPr>
        <w:jc w:val="both"/>
        <w:rPr>
          <w:bCs/>
          <w:lang w:val="en-NZ"/>
        </w:rPr>
      </w:pPr>
    </w:p>
    <w:p w14:paraId="7A2487A8" w14:textId="667542C2" w:rsidR="00374373" w:rsidRPr="009B2C41" w:rsidRDefault="00374373" w:rsidP="00374373">
      <w:pPr>
        <w:spacing w:before="360"/>
        <w:jc w:val="both"/>
        <w:rPr>
          <w:bCs/>
          <w:lang w:val="en-NZ"/>
        </w:rPr>
      </w:pPr>
      <w:r w:rsidRPr="00374373">
        <w:rPr>
          <w:b/>
          <w:bCs/>
          <w:u w:val="single"/>
          <w:lang w:val="en-NZ"/>
        </w:rPr>
        <w:lastRenderedPageBreak/>
        <w:t>Discussion</w:t>
      </w:r>
    </w:p>
    <w:p w14:paraId="5FC4A667" w14:textId="5E4D4F7F" w:rsidR="008C63BB" w:rsidRDefault="00A673ED">
      <w:r>
        <w:t xml:space="preserve">In this experiment we first converted </w:t>
      </w:r>
      <w:r w:rsidR="00F13895">
        <w:t xml:space="preserve">pentant-3-one into a tertiary alcohol with benzylmagnesium chloride, then dehydrated that alcohol to a mixture of three alkenes. The </w:t>
      </w:r>
      <w:proofErr w:type="gramStart"/>
      <w:r w:rsidR="00F13895">
        <w:t>IR spectra</w:t>
      </w:r>
      <w:proofErr w:type="gramEnd"/>
      <w:r w:rsidR="00F13895">
        <w:t xml:space="preserve"> recorded at each step showed the expected changes in functional groups. The starting ketone exhibits a strong, sharp C=O stretch at 1712 cm</w:t>
      </w:r>
      <w:r w:rsidR="00F13895">
        <w:rPr>
          <w:vertAlign w:val="superscript"/>
        </w:rPr>
        <w:t>-1</w:t>
      </w:r>
      <w:r w:rsidR="00F13895">
        <w:t xml:space="preserve"> with no O-H absorption. After the Grignard addition and aqueous NH</w:t>
      </w:r>
      <w:r w:rsidR="00F13895">
        <w:rPr>
          <w:vertAlign w:val="subscript"/>
        </w:rPr>
        <w:t>4</w:t>
      </w:r>
      <w:r w:rsidR="00F13895">
        <w:t>Cl work-up, this carbonyl band has disappeared and is replaced by a broad O-H stretch around 3400 cm</w:t>
      </w:r>
      <w:r w:rsidR="00F13895">
        <w:rPr>
          <w:vertAlign w:val="superscript"/>
        </w:rPr>
        <w:t>-1</w:t>
      </w:r>
      <w:r w:rsidR="00F13895">
        <w:t>, confirming formation of the tertiary alcohol. In the final product the O-H band is gone, while a medium C=C stretch at 1648 cm</w:t>
      </w:r>
      <w:r w:rsidR="00F13895">
        <w:rPr>
          <w:vertAlign w:val="superscript"/>
        </w:rPr>
        <w:t>-1</w:t>
      </w:r>
      <w:r w:rsidR="00F13895">
        <w:t xml:space="preserve"> appears, clearly indicating that dehydration to alkenes has occurred. Throughout the aromatic C=C bands at 1600/1500 cm</w:t>
      </w:r>
      <w:r w:rsidR="00F13895">
        <w:rPr>
          <w:vertAlign w:val="superscript"/>
        </w:rPr>
        <w:t>-1</w:t>
      </w:r>
      <w:r w:rsidR="00F13895">
        <w:t xml:space="preserve"> and the C-H deformations in the fingerprint region remain unchanged, showing that the benzene ring was unaffected</w:t>
      </w:r>
    </w:p>
    <w:p w14:paraId="5F44DE27" w14:textId="2F13B5D1" w:rsidR="00565785" w:rsidRDefault="00565785">
      <w:r>
        <w:t xml:space="preserve">Mechanistically, the first step required the generation benzylmagnesium chloride by </w:t>
      </w:r>
      <w:proofErr w:type="gramStart"/>
      <w:r>
        <w:t>insertion of</w:t>
      </w:r>
      <w:proofErr w:type="gramEnd"/>
      <w:r>
        <w:t xml:space="preserve"> magnesium into the C-Cl bond of benzyl chloride in dry diethyl ether</w:t>
      </w:r>
      <w:r w:rsidR="00A83AC3">
        <w:t xml:space="preserve"> (I)</w:t>
      </w:r>
      <w:r>
        <w:t>. This organomagnesium reagent then attacks the electrophile carbonyl of pentan-3-one</w:t>
      </w:r>
      <w:r w:rsidR="00A83AC3">
        <w:t xml:space="preserve"> (II)</w:t>
      </w:r>
      <w:r>
        <w:t>, forming a magnesium alkoxide intermediate. On addition of saturated NH</w:t>
      </w:r>
      <w:r>
        <w:rPr>
          <w:vertAlign w:val="subscript"/>
        </w:rPr>
        <w:t>4</w:t>
      </w:r>
      <w:r>
        <w:t>Cl this alkoxide is protonated to give the tertiary alcohol</w:t>
      </w:r>
      <w:r w:rsidR="00A83AC3">
        <w:t xml:space="preserve"> (III)</w:t>
      </w:r>
      <w:r>
        <w:t xml:space="preserve">. No rearrangements occur because the benzyl carbanion is resonance stabilized and adds cleanly to the ketone. </w:t>
      </w:r>
    </w:p>
    <w:p w14:paraId="6BD20342" w14:textId="0955820C" w:rsidR="00565785" w:rsidRDefault="00565785">
      <w:r>
        <w:t>The second step is an acid-catalyzed dehydration of the isolated tertiary alcohol. Protonation of the hydroxyl group</w:t>
      </w:r>
      <w:r w:rsidR="00A83AC3">
        <w:t xml:space="preserve"> (IV)</w:t>
      </w:r>
      <w:r>
        <w:t xml:space="preserve"> by orthophosphoric acid converts -OH into a good leaving group, and loss of water yields a tertiary benzylic carbocation. From this carbocation, β-elimination</w:t>
      </w:r>
      <w:r w:rsidR="00A83AC3">
        <w:t xml:space="preserve"> (V)</w:t>
      </w:r>
      <w:r>
        <w:t xml:space="preserve"> of a proton can occur either at the benzylic potion, producing the conjugated double bond, or at one the adjacent methyl groups producing the non-conjugated internal alkene. Since elimination at the methyl can take place from either face of the planer carbocation, both E and Z stereoisomers of the internal alkene are formed. Although formation of the Conjugated alkene is thermodynamically favored, steric accessibility of the methyl protons makes internal elimination competitive, resulting in all three </w:t>
      </w:r>
      <w:proofErr w:type="gramStart"/>
      <w:r>
        <w:t>alkene</w:t>
      </w:r>
      <w:proofErr w:type="gramEnd"/>
      <w:r>
        <w:t xml:space="preserve"> in roughly equal proportions</w:t>
      </w:r>
    </w:p>
    <w:p w14:paraId="5FD2DEF8" w14:textId="589E1CB6" w:rsidR="00A83AC3" w:rsidRDefault="00A83AC3">
      <w:r>
        <w:object w:dxaOrig="9369" w:dyaOrig="8529" w14:anchorId="3769CBF4">
          <v:shape id="_x0000_i1137" type="#_x0000_t75" style="width:428.25pt;height:390pt" o:ole="">
            <v:imagedata r:id="rId12" o:title=""/>
          </v:shape>
          <o:OLEObject Type="Embed" ProgID="ChemDraw_x64.Document.6.0" ShapeID="_x0000_i1137" DrawAspect="Content" ObjectID="_1809466804" r:id="rId13"/>
        </w:object>
      </w:r>
    </w:p>
    <w:p w14:paraId="7823E663" w14:textId="555BA22F" w:rsidR="00A83AC3" w:rsidRPr="00565785" w:rsidRDefault="00A83AC3"/>
    <w:sectPr w:rsidR="00A83AC3" w:rsidRPr="0056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BB"/>
    <w:rsid w:val="0004357A"/>
    <w:rsid w:val="00073B2C"/>
    <w:rsid w:val="000F6088"/>
    <w:rsid w:val="00120BDA"/>
    <w:rsid w:val="002B77A3"/>
    <w:rsid w:val="002C3324"/>
    <w:rsid w:val="002D1A56"/>
    <w:rsid w:val="003537CD"/>
    <w:rsid w:val="00374373"/>
    <w:rsid w:val="00382B9E"/>
    <w:rsid w:val="003A0671"/>
    <w:rsid w:val="003D5066"/>
    <w:rsid w:val="00475E35"/>
    <w:rsid w:val="004A17A8"/>
    <w:rsid w:val="004A3042"/>
    <w:rsid w:val="004A3796"/>
    <w:rsid w:val="004A635C"/>
    <w:rsid w:val="004F317C"/>
    <w:rsid w:val="00515AAB"/>
    <w:rsid w:val="00565785"/>
    <w:rsid w:val="005B0D75"/>
    <w:rsid w:val="005C47F2"/>
    <w:rsid w:val="005F0D2C"/>
    <w:rsid w:val="00642682"/>
    <w:rsid w:val="0066242A"/>
    <w:rsid w:val="00666527"/>
    <w:rsid w:val="006D7581"/>
    <w:rsid w:val="006E6100"/>
    <w:rsid w:val="006F4FDA"/>
    <w:rsid w:val="00820163"/>
    <w:rsid w:val="00865EF7"/>
    <w:rsid w:val="008A205E"/>
    <w:rsid w:val="008A48AF"/>
    <w:rsid w:val="008B61E1"/>
    <w:rsid w:val="008C481F"/>
    <w:rsid w:val="008C63BB"/>
    <w:rsid w:val="0090226D"/>
    <w:rsid w:val="0091749F"/>
    <w:rsid w:val="009607EA"/>
    <w:rsid w:val="009C735B"/>
    <w:rsid w:val="00A673ED"/>
    <w:rsid w:val="00A67C05"/>
    <w:rsid w:val="00A757D9"/>
    <w:rsid w:val="00A831BD"/>
    <w:rsid w:val="00A83AC3"/>
    <w:rsid w:val="00AF45B1"/>
    <w:rsid w:val="00B11D07"/>
    <w:rsid w:val="00B63CD3"/>
    <w:rsid w:val="00B832C2"/>
    <w:rsid w:val="00B96B28"/>
    <w:rsid w:val="00C01012"/>
    <w:rsid w:val="00C4013C"/>
    <w:rsid w:val="00C946DB"/>
    <w:rsid w:val="00D23B2E"/>
    <w:rsid w:val="00D8797D"/>
    <w:rsid w:val="00DA0D17"/>
    <w:rsid w:val="00DA1AC4"/>
    <w:rsid w:val="00DC6793"/>
    <w:rsid w:val="00E46A54"/>
    <w:rsid w:val="00E5015F"/>
    <w:rsid w:val="00E97878"/>
    <w:rsid w:val="00EF14E8"/>
    <w:rsid w:val="00F13895"/>
    <w:rsid w:val="00FA31EB"/>
    <w:rsid w:val="00FD7C56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4948C0E"/>
  <w15:chartTrackingRefBased/>
  <w15:docId w15:val="{008A80BD-FC11-442D-9278-AE39384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73"/>
    <w:pPr>
      <w:spacing w:after="12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C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C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C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Stanley</dc:creator>
  <cp:keywords/>
  <dc:description/>
  <cp:lastModifiedBy>Harry Stanley</cp:lastModifiedBy>
  <cp:revision>7</cp:revision>
  <cp:lastPrinted>2025-05-22T00:50:00Z</cp:lastPrinted>
  <dcterms:created xsi:type="dcterms:W3CDTF">2025-05-15T09:21:00Z</dcterms:created>
  <dcterms:modified xsi:type="dcterms:W3CDTF">2025-05-22T12:53:00Z</dcterms:modified>
</cp:coreProperties>
</file>