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color w:val="C9A84C"/>
          <w:spacing w:val="60"/>
          <w:sz w:val="22"/>
          <w:szCs w:val="22"/>
        </w:rPr>
        <w:t xml:space="preserve">DPIA SCREENING CHECKLIST</w:t>
      </w:r>
    </w:p>
    <w:p>
      <w:pPr>
        <w:spacing w:after="200"/>
      </w:pPr>
      <w:r>
        <w:rPr>
          <w:b/>
          <w:bCs/>
          <w:color w:val="0A1628"/>
          <w:sz w:val="40"/>
          <w:szCs w:val="40"/>
        </w:rPr>
        <w:t xml:space="preserve">Telehealth Video Consultation Service</w:t>
      </w:r>
    </w:p>
    <w:p>
      <w:pPr>
        <w:spacing w:after="400"/>
      </w:pPr>
      <w:r>
        <w:rPr>
          <w:color w:val="4A5568"/>
          <w:sz w:val="22"/>
          <w:szCs w:val="22"/>
        </w:rPr>
        <w:t xml:space="preserve">Article 35 UK GDPR · Reference DPIA-SCR-2026-01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vAlign w:val="center"/>
          </w:tcPr>
          <w:p>
            <w:pPr>
              <w:spacing w:after="0"/>
            </w:pPr>
            <w:r>
              <w:rPr>
                <w:b/>
                <w:bCs/>
                <w:sz w:val="22"/>
                <w:szCs w:val="22"/>
              </w:rPr>
              <w:t xml:space="preserve">Controller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HealthBridge Solutions Ltd. (fictional)</w:t>
            </w:r>
          </w:p>
        </w:tc>
      </w:tr>
      <w:tr>
        <w:tc>
          <w:tcPr>
            <w:tcW w:type="dxa" w:w="24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vAlign w:val="center"/>
          </w:tcPr>
          <w:p>
            <w:pPr>
              <w:spacing w:after="0"/>
            </w:pPr>
            <w:r>
              <w:rPr>
                <w:b/>
                <w:bCs/>
                <w:sz w:val="22"/>
                <w:szCs w:val="22"/>
              </w:rPr>
              <w:t xml:space="preserve">Service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B2C telehealth video consultation service</w:t>
            </w:r>
          </w:p>
        </w:tc>
      </w:tr>
      <w:tr>
        <w:tc>
          <w:tcPr>
            <w:tcW w:type="dxa" w:w="24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vAlign w:val="center"/>
          </w:tcPr>
          <w:p>
            <w:pPr>
              <w:spacing w:after="0"/>
            </w:pPr>
            <w:r>
              <w:rPr>
                <w:b/>
                <w:bCs/>
                <w:sz w:val="22"/>
                <w:szCs w:val="22"/>
              </w:rPr>
              <w:t xml:space="preserve">Screening date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22 May 2026</w:t>
            </w:r>
          </w:p>
        </w:tc>
      </w:tr>
      <w:tr>
        <w:tc>
          <w:tcPr>
            <w:tcW w:type="dxa" w:w="24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vAlign w:val="center"/>
          </w:tcPr>
          <w:p>
            <w:pPr>
              <w:spacing w:after="0"/>
            </w:pPr>
            <w:r>
              <w:rPr>
                <w:b/>
                <w:bCs/>
                <w:sz w:val="22"/>
                <w:szCs w:val="22"/>
              </w:rPr>
              <w:t xml:space="preserve">Completed by</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Privacy Office (Deepak N)</w:t>
            </w:r>
          </w:p>
        </w:tc>
      </w:tr>
      <w:tr>
        <w:tc>
          <w:tcPr>
            <w:tcW w:type="dxa" w:w="24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vAlign w:val="center"/>
          </w:tcPr>
          <w:p>
            <w:pPr>
              <w:spacing w:after="0"/>
            </w:pPr>
            <w:r>
              <w:rPr>
                <w:b/>
                <w:bCs/>
                <w:sz w:val="22"/>
                <w:szCs w:val="22"/>
              </w:rPr>
              <w:t xml:space="preserve">Outcome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bCs/>
                <w:color w:val="0A1628"/>
                <w:sz w:val="22"/>
                <w:szCs w:val="22"/>
              </w:rPr>
              <w:t xml:space="preserve">DPIA REQUIRED — proceed to full assessment (DPIA-2026-01)</w:t>
            </w:r>
          </w:p>
        </w:tc>
      </w:tr>
    </w:tbl>
    <w:p>
      <w:pPr>
        <w:pStyle w:val="Heading1"/>
        <w:spacing w:after="200" w:before="360"/>
      </w:pPr>
      <w:r>
        <w:t xml:space="preserve">1. Purpose of this Screening</w:t>
      </w:r>
    </w:p>
    <w:p>
      <w:pPr>
        <w:spacing w:after="120" w:line="300"/>
      </w:pPr>
      <w:r>
        <w:t xml:space="preserve">This screening determines whether a full Data Protection Impact Assessment is required under Article 35(1) UK GDPR. It is a controller-side decision tool and is completed before processing begins. The criteria below combine the European Data Protection Board's WP248rev.01 nine criteria (two or more of which is treated as likely high risk) with selected additional items from the ICO's published 'likely high risk' list. Each criterion is labelled with its source.</w:t>
      </w:r>
    </w:p>
    <w:p>
      <w:pPr>
        <w:spacing w:after="120" w:line="300"/>
      </w:pPr>
      <w:r>
        <w:t xml:space="preserve">This screening is the first step in HealthBridge's DPIA process. Where the outcome is 'DPIA required', it is followed by the full DPIA (reference DPIA-2026-01). Where the outcome is 'DPIA not required', the decision is recorded in the ROPA against the relevant processing activity, and revisited if the processing changes.</w:t>
      </w:r>
    </w:p>
    <w:p>
      <w:pPr>
        <w:pStyle w:val="Heading1"/>
        <w:spacing w:after="200" w:before="360"/>
      </w:pPr>
      <w:r>
        <w:t xml:space="preserve">2. Screening Questions</w:t>
      </w:r>
    </w:p>
    <w:p>
      <w:pPr>
        <w:spacing w:after="120" w:line="300"/>
      </w:pPr>
      <w:r>
        <w:t xml:space="preserve">Twelve criteria are tested. The first seven are the WP248rev.01 criteria endorsed by the EDPB; the remaining five are items from the ICO's published 'likely high risk' list. Two or more 'Yes' answers indicates that a DPIA is required. A single 'Yes' indicates a DPIA is likely required and the DPO should advise. The 'Source' column shows the origin of each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60"/>
        <w:gridCol w:w="1200"/>
        <w:gridCol w:w="1000"/>
        <w:gridCol w:w="2900"/>
      </w:tblGrid>
      <w:tr>
        <w:tc>
          <w:tcPr>
            <w:tcW w:type="dxa" w:w="5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w:t>
            </w:r>
          </w:p>
        </w:tc>
        <w:tc>
          <w:tcPr>
            <w:tcW w:type="dxa" w:w="376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Screening criterion</w:t>
            </w:r>
          </w:p>
        </w:tc>
        <w:tc>
          <w:tcPr>
            <w:tcW w:type="dxa" w:w="12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Source</w:t>
            </w:r>
          </w:p>
        </w:tc>
        <w:tc>
          <w:tcPr>
            <w:tcW w:type="dxa" w:w="10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Applies?</w:t>
            </w:r>
          </w:p>
        </w:tc>
        <w:tc>
          <w:tcPr>
            <w:tcW w:type="dxa" w:w="290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Notes</w:t>
            </w:r>
          </w:p>
        </w:tc>
      </w:tr>
      <w:tr>
        <w:tc>
          <w:tcPr>
            <w:tcW w:type="dxa" w:w="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1</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Use of innovative technology or new technological/organisational solutions</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WP248 #8</w:t>
            </w:r>
          </w:p>
        </w:tc>
        <w:tc>
          <w:tcPr>
            <w:tcW w:type="dxa" w:w="10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pPr>
              <w:spacing w:after="0"/>
            </w:pPr>
            <w:r>
              <w:rPr>
                <w:b/>
                <w:bCs/>
                <w:sz w:val="22"/>
                <w:szCs w:val="22"/>
              </w:rPr>
              <w:t xml:space="preserve">Yes</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Video consultation + AI-generated clinical summary on the live audio transcript. Both are innovative in a healthcare context.</w:t>
            </w:r>
          </w:p>
        </w:tc>
      </w:tr>
      <w:tr>
        <w:tc>
          <w:tcPr>
            <w:tcW w:type="dxa" w:w="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2</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Profiling or automated decision-making with legal or similarly significant effect</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WP248 #2</w:t>
            </w:r>
          </w:p>
        </w:tc>
        <w:tc>
          <w:tcPr>
            <w:tcW w:type="dxa" w:w="1000"/>
            <w:tcBorders>
              <w:top w:val="single" w:color="CCCCCC" w:sz="4"/>
              <w:left w:val="single" w:color="CCCCCC" w:sz="4"/>
              <w:bottom w:val="single" w:color="CCCCCC" w:sz="4"/>
              <w:right w:val="single" w:color="CCCCCC" w:sz="4"/>
            </w:tcBorders>
            <w:shd w:fill="EDF7F2" w:val="clear"/>
            <w:tcMar>
              <w:top w:type="dxa" w:w="100"/>
              <w:left w:type="dxa" w:w="140"/>
              <w:bottom w:type="dxa" w:w="100"/>
              <w:right w:type="dxa" w:w="140"/>
            </w:tcMar>
            <w:vAlign w:val="center"/>
          </w:tcPr>
          <w:p>
            <w:pPr>
              <w:spacing w:after="0"/>
            </w:pPr>
            <w:r>
              <w:rPr>
                <w:b/>
                <w:bCs/>
                <w:sz w:val="22"/>
                <w:szCs w:val="22"/>
              </w:rPr>
              <w:t xml:space="preserve">No</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The AI summary is a clinician-supporting tool; no clinical decision is made automatically. The clinician makes all decisions and is the accountable party.</w:t>
            </w:r>
          </w:p>
        </w:tc>
      </w:tr>
      <w:tr>
        <w:tc>
          <w:tcPr>
            <w:tcW w:type="dxa" w:w="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3</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Large-scale processing of sensitive or special-category data (Article 9) or criminal-offence data (Article 10)</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WP248 #4 + #5</w:t>
            </w:r>
          </w:p>
        </w:tc>
        <w:tc>
          <w:tcPr>
            <w:tcW w:type="dxa" w:w="10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pPr>
              <w:spacing w:after="0"/>
            </w:pPr>
            <w:r>
              <w:rPr>
                <w:b/>
                <w:bCs/>
                <w:sz w:val="22"/>
                <w:szCs w:val="22"/>
              </w:rPr>
              <w:t xml:space="preserve">Yes</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Health data processed for ~38,000 registered patients with ~300 consultations per working day.</w:t>
            </w:r>
          </w:p>
        </w:tc>
      </w:tr>
      <w:tr>
        <w:tc>
          <w:tcPr>
            <w:tcW w:type="dxa" w:w="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4</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Systematic monitoring of a publicly accessible area</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WP248 #3</w:t>
            </w:r>
          </w:p>
        </w:tc>
        <w:tc>
          <w:tcPr>
            <w:tcW w:type="dxa" w:w="1000"/>
            <w:tcBorders>
              <w:top w:val="single" w:color="CCCCCC" w:sz="4"/>
              <w:left w:val="single" w:color="CCCCCC" w:sz="4"/>
              <w:bottom w:val="single" w:color="CCCCCC" w:sz="4"/>
              <w:right w:val="single" w:color="CCCCCC" w:sz="4"/>
            </w:tcBorders>
            <w:shd w:fill="EDF7F2" w:val="clear"/>
            <w:tcMar>
              <w:top w:type="dxa" w:w="100"/>
              <w:left w:type="dxa" w:w="140"/>
              <w:bottom w:type="dxa" w:w="100"/>
              <w:right w:type="dxa" w:w="140"/>
            </w:tcMar>
            <w:vAlign w:val="center"/>
          </w:tcPr>
          <w:p>
            <w:pPr>
              <w:spacing w:after="0"/>
            </w:pPr>
            <w:r>
              <w:rPr>
                <w:b/>
                <w:bCs/>
                <w:sz w:val="22"/>
                <w:szCs w:val="22"/>
              </w:rPr>
              <w:t xml:space="preserve">No</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Not applicable.</w:t>
            </w:r>
          </w:p>
        </w:tc>
      </w:tr>
      <w:tr>
        <w:tc>
          <w:tcPr>
            <w:tcW w:type="dxa" w:w="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5</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Processing of data concerning vulnerable data subjects (children, patients, employees)</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WP248 #7</w:t>
            </w:r>
          </w:p>
        </w:tc>
        <w:tc>
          <w:tcPr>
            <w:tcW w:type="dxa" w:w="10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pPr>
              <w:spacing w:after="0"/>
            </w:pPr>
            <w:r>
              <w:rPr>
                <w:b/>
                <w:bCs/>
                <w:sz w:val="22"/>
                <w:szCs w:val="22"/>
              </w:rPr>
              <w:t xml:space="preserve">Yes</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Patients are inherently a vulnerable group. Service is accessible to 13–17 year-olds via a parent/guardian account flow.</w:t>
            </w:r>
          </w:p>
        </w:tc>
      </w:tr>
      <w:tr>
        <w:tc>
          <w:tcPr>
            <w:tcW w:type="dxa" w:w="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6</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Data matched or combined from different sources or operations</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WP248 #6</w:t>
            </w:r>
          </w:p>
        </w:tc>
        <w:tc>
          <w:tcPr>
            <w:tcW w:type="dxa" w:w="10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pPr>
              <w:spacing w:after="0"/>
            </w:pPr>
            <w:r>
              <w:rPr>
                <w:b/>
                <w:bCs/>
                <w:sz w:val="22"/>
                <w:szCs w:val="22"/>
              </w:rPr>
              <w:t xml:space="preserve">Yes</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Consultation summary combined with the patient's NHS GP record via GP Connect (with consent).</w:t>
            </w:r>
          </w:p>
        </w:tc>
      </w:tr>
      <w:tr>
        <w:tc>
          <w:tcPr>
            <w:tcW w:type="dxa" w:w="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7</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Processing that prevents the data subject from exercising a right or using a service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WP248 #9</w:t>
            </w:r>
          </w:p>
        </w:tc>
        <w:tc>
          <w:tcPr>
            <w:tcW w:type="dxa" w:w="1000"/>
            <w:tcBorders>
              <w:top w:val="single" w:color="CCCCCC" w:sz="4"/>
              <w:left w:val="single" w:color="CCCCCC" w:sz="4"/>
              <w:bottom w:val="single" w:color="CCCCCC" w:sz="4"/>
              <w:right w:val="single" w:color="CCCCCC" w:sz="4"/>
            </w:tcBorders>
            <w:shd w:fill="EDF7F2" w:val="clear"/>
            <w:tcMar>
              <w:top w:type="dxa" w:w="100"/>
              <w:left w:type="dxa" w:w="140"/>
              <w:bottom w:type="dxa" w:w="100"/>
              <w:right w:type="dxa" w:w="140"/>
            </w:tcMar>
            <w:vAlign w:val="center"/>
          </w:tcPr>
          <w:p>
            <w:pPr>
              <w:spacing w:after="0"/>
            </w:pPr>
            <w:r>
              <w:rPr>
                <w:b/>
                <w:bCs/>
                <w:sz w:val="22"/>
                <w:szCs w:val="22"/>
              </w:rPr>
              <w:t xml:space="preserve">No</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Not applicable.</w:t>
            </w:r>
          </w:p>
        </w:tc>
      </w:tr>
      <w:tr>
        <w:tc>
          <w:tcPr>
            <w:tcW w:type="dxa" w:w="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8</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Use of biometric data for the purpose of uniquely identifying an individual</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ICO list</w:t>
            </w:r>
          </w:p>
        </w:tc>
        <w:tc>
          <w:tcPr>
            <w:tcW w:type="dxa" w:w="1000"/>
            <w:tcBorders>
              <w:top w:val="single" w:color="CCCCCC" w:sz="4"/>
              <w:left w:val="single" w:color="CCCCCC" w:sz="4"/>
              <w:bottom w:val="single" w:color="CCCCCC" w:sz="4"/>
              <w:right w:val="single" w:color="CCCCCC" w:sz="4"/>
            </w:tcBorders>
            <w:shd w:fill="EDF7F2" w:val="clear"/>
            <w:tcMar>
              <w:top w:type="dxa" w:w="100"/>
              <w:left w:type="dxa" w:w="140"/>
              <w:bottom w:type="dxa" w:w="100"/>
              <w:right w:type="dxa" w:w="140"/>
            </w:tcMar>
            <w:vAlign w:val="center"/>
          </w:tcPr>
          <w:p>
            <w:pPr>
              <w:spacing w:after="0"/>
            </w:pPr>
            <w:r>
              <w:rPr>
                <w:b/>
                <w:bCs/>
                <w:sz w:val="22"/>
                <w:szCs w:val="22"/>
              </w:rPr>
              <w:t xml:space="preserve">No</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Onfido photo-ID check uses facial-similarity matching but the result is binary verification, not biometric template storage.</w:t>
            </w:r>
          </w:p>
        </w:tc>
      </w:tr>
      <w:tr>
        <w:tc>
          <w:tcPr>
            <w:tcW w:type="dxa" w:w="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9</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Use of genetic data</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ICO list</w:t>
            </w:r>
          </w:p>
        </w:tc>
        <w:tc>
          <w:tcPr>
            <w:tcW w:type="dxa" w:w="1000"/>
            <w:tcBorders>
              <w:top w:val="single" w:color="CCCCCC" w:sz="4"/>
              <w:left w:val="single" w:color="CCCCCC" w:sz="4"/>
              <w:bottom w:val="single" w:color="CCCCCC" w:sz="4"/>
              <w:right w:val="single" w:color="CCCCCC" w:sz="4"/>
            </w:tcBorders>
            <w:shd w:fill="EDF7F2" w:val="clear"/>
            <w:tcMar>
              <w:top w:type="dxa" w:w="100"/>
              <w:left w:type="dxa" w:w="140"/>
              <w:bottom w:type="dxa" w:w="100"/>
              <w:right w:type="dxa" w:w="140"/>
            </w:tcMar>
            <w:vAlign w:val="center"/>
          </w:tcPr>
          <w:p>
            <w:pPr>
              <w:spacing w:after="0"/>
            </w:pPr>
            <w:r>
              <w:rPr>
                <w:b/>
                <w:bCs/>
                <w:sz w:val="22"/>
                <w:szCs w:val="22"/>
              </w:rPr>
              <w:t xml:space="preserve">No</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Out of scope.</w:t>
            </w:r>
          </w:p>
        </w:tc>
      </w:tr>
      <w:tr>
        <w:tc>
          <w:tcPr>
            <w:tcW w:type="dxa" w:w="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10</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Tracking of an individual's location or behaviour</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ICO list</w:t>
            </w:r>
          </w:p>
        </w:tc>
        <w:tc>
          <w:tcPr>
            <w:tcW w:type="dxa" w:w="1000"/>
            <w:tcBorders>
              <w:top w:val="single" w:color="CCCCCC" w:sz="4"/>
              <w:left w:val="single" w:color="CCCCCC" w:sz="4"/>
              <w:bottom w:val="single" w:color="CCCCCC" w:sz="4"/>
              <w:right w:val="single" w:color="CCCCCC" w:sz="4"/>
            </w:tcBorders>
            <w:shd w:fill="EDF7F2" w:val="clear"/>
            <w:tcMar>
              <w:top w:type="dxa" w:w="100"/>
              <w:left w:type="dxa" w:w="140"/>
              <w:bottom w:type="dxa" w:w="100"/>
              <w:right w:type="dxa" w:w="140"/>
            </w:tcMar>
            <w:vAlign w:val="center"/>
          </w:tcPr>
          <w:p>
            <w:pPr>
              <w:spacing w:after="0"/>
            </w:pPr>
            <w:r>
              <w:rPr>
                <w:b/>
                <w:bCs/>
                <w:sz w:val="22"/>
                <w:szCs w:val="22"/>
              </w:rPr>
              <w:t xml:space="preserve">No</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Service does not track location beyond IP address for security purposes.</w:t>
            </w:r>
          </w:p>
        </w:tc>
      </w:tr>
      <w:tr>
        <w:tc>
          <w:tcPr>
            <w:tcW w:type="dxa" w:w="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11</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Targeting of children for marketing, profiling, or automated decisions</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ICO list</w:t>
            </w:r>
          </w:p>
        </w:tc>
        <w:tc>
          <w:tcPr>
            <w:tcW w:type="dxa" w:w="1000"/>
            <w:tcBorders>
              <w:top w:val="single" w:color="CCCCCC" w:sz="4"/>
              <w:left w:val="single" w:color="CCCCCC" w:sz="4"/>
              <w:bottom w:val="single" w:color="CCCCCC" w:sz="4"/>
              <w:right w:val="single" w:color="CCCCCC" w:sz="4"/>
            </w:tcBorders>
            <w:shd w:fill="EDF7F2" w:val="clear"/>
            <w:tcMar>
              <w:top w:type="dxa" w:w="100"/>
              <w:left w:type="dxa" w:w="140"/>
              <w:bottom w:type="dxa" w:w="100"/>
              <w:right w:type="dxa" w:w="140"/>
            </w:tcMar>
            <w:vAlign w:val="center"/>
          </w:tcPr>
          <w:p>
            <w:pPr>
              <w:spacing w:after="0"/>
            </w:pPr>
            <w:r>
              <w:rPr>
                <w:b/>
                <w:bCs/>
                <w:sz w:val="22"/>
                <w:szCs w:val="22"/>
              </w:rPr>
              <w:t xml:space="preserve">No</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Marketing to under-18s is prohibited; the service is access-only, not marketing.</w:t>
            </w:r>
          </w:p>
        </w:tc>
      </w:tr>
      <w:tr>
        <w:tc>
          <w:tcPr>
            <w:tcW w:type="dxa" w:w="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12</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Data that, if breached, could risk physical safety</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ICO list</w:t>
            </w:r>
          </w:p>
        </w:tc>
        <w:tc>
          <w:tcPr>
            <w:tcW w:type="dxa" w:w="10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pPr>
              <w:spacing w:after="0"/>
            </w:pPr>
            <w:r>
              <w:rPr>
                <w:b/>
                <w:bCs/>
                <w:sz w:val="22"/>
                <w:szCs w:val="22"/>
              </w:rPr>
              <w:t xml:space="preserve">Yes</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18"/>
                <w:szCs w:val="18"/>
              </w:rPr>
              <w:t xml:space="preserve">Disclosure of health conditions could result in physical, psychological, financial or reputational harm; for mental-health and sexual-health information the safety risk is elevated.</w:t>
            </w:r>
          </w:p>
        </w:tc>
      </w:tr>
    </w:tbl>
    <w:p>
      <w:pPr>
        <w:pStyle w:val="Heading1"/>
        <w:spacing w:after="200" w:before="360"/>
      </w:pPr>
      <w:r>
        <w:t xml:space="preserve">3.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Trigger count</w:t>
            </w:r>
          </w:p>
        </w:tc>
        <w:tc>
          <w:tcPr>
            <w:tcW w:type="dxa" w:w="624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Outcome</w:t>
            </w:r>
          </w:p>
        </w:tc>
      </w:tr>
      <w:tr>
        <w:tc>
          <w:tcPr>
            <w:tcW w:type="dxa" w:w="3120"/>
            <w:tcBorders>
              <w:top w:val="single" w:color="CCCCCC" w:sz="4"/>
              <w:left w:val="single" w:color="CCCCCC" w:sz="4"/>
              <w:bottom w:val="single" w:color="CCCCCC" w:sz="4"/>
              <w:right w:val="single" w:color="CCCCCC" w:sz="4"/>
            </w:tcBorders>
            <w:shd w:fill="EDF7F2" w:val="clear"/>
            <w:tcMar>
              <w:top w:type="dxa" w:w="100"/>
              <w:left w:type="dxa" w:w="140"/>
              <w:bottom w:type="dxa" w:w="100"/>
              <w:right w:type="dxa" w:w="140"/>
            </w:tcMar>
            <w:vAlign w:val="center"/>
          </w:tcPr>
          <w:p>
            <w:pPr>
              <w:spacing w:after="0"/>
            </w:pPr>
            <w:r>
              <w:rPr>
                <w:b w:val="false"/>
                <w:bCs w:val="false"/>
                <w:sz w:val="22"/>
                <w:szCs w:val="22"/>
              </w:rPr>
              <w:t xml:space="preserve">Zero criteria met</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DPIA not required. Record decision in the ROPA and proceed.</w:t>
            </w:r>
          </w:p>
        </w:tc>
      </w:tr>
      <w:tr>
        <w:tc>
          <w:tcPr>
            <w:tcW w:type="dxa" w:w="312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vAlign w:val="center"/>
          </w:tcPr>
          <w:p>
            <w:pPr>
              <w:spacing w:after="0"/>
            </w:pPr>
            <w:r>
              <w:rPr>
                <w:b w:val="false"/>
                <w:bCs w:val="false"/>
                <w:sz w:val="22"/>
                <w:szCs w:val="22"/>
              </w:rPr>
              <w:t xml:space="preserve">One criterion met</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DPIA likely required if combined with other risk factors. DPO to advise.</w:t>
            </w:r>
          </w:p>
        </w:tc>
      </w:tr>
      <w:tr>
        <w:tc>
          <w:tcPr>
            <w:tcW w:type="dxa" w:w="312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40"/>
            </w:tcMar>
            <w:vAlign w:val="center"/>
          </w:tcPr>
          <w:p>
            <w:pPr>
              <w:spacing w:after="0"/>
            </w:pPr>
            <w:r>
              <w:rPr>
                <w:b w:val="false"/>
                <w:bCs w:val="false"/>
                <w:sz w:val="22"/>
                <w:szCs w:val="22"/>
              </w:rPr>
              <w:t xml:space="preserve">Two or more criteria met</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DPIA required (Article 35(1) read with ICO 'likely high risk' list).</w:t>
            </w:r>
          </w:p>
        </w:tc>
      </w:tr>
    </w:tbl>
    <w:p>
      <w:pPr>
        <w:spacing w:after="200" w:before="200"/>
      </w:pPr>
      <w:r>
        <w:rPr>
          <w:b/>
          <w:bCs/>
          <w:color w:val="0A1628"/>
        </w:rPr>
        <w:t xml:space="preserve">This screening — five criteria met (1, 3, 5, 6, 12). DPIA is required.</w:t>
      </w:r>
    </w:p>
    <w:p>
      <w:pPr>
        <w:pStyle w:val="Heading1"/>
        <w:spacing w:after="200" w:before="360"/>
      </w:pPr>
      <w:r>
        <w:t xml:space="preserve">4.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Role</w:t>
            </w:r>
          </w:p>
        </w:tc>
        <w:tc>
          <w:tcPr>
            <w:tcW w:type="dxa" w:w="312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Name</w:t>
            </w:r>
          </w:p>
        </w:tc>
        <w:tc>
          <w:tcPr>
            <w:tcW w:type="dxa" w:w="3120"/>
            <w:tcBorders>
              <w:top w:val="single" w:color="CCCCCC" w:sz="4"/>
              <w:left w:val="single" w:color="CCCCCC" w:sz="4"/>
              <w:bottom w:val="single" w:color="CCCCCC" w:sz="4"/>
              <w:right w:val="single" w:color="CCCCCC" w:sz="4"/>
            </w:tcBorders>
            <w:shd w:fill="0A1628" w:val="clear"/>
            <w:tcMar>
              <w:top w:type="dxa" w:w="100"/>
              <w:left w:type="dxa" w:w="140"/>
              <w:bottom w:type="dxa" w:w="100"/>
              <w:right w:type="dxa" w:w="140"/>
            </w:tcMar>
            <w:vAlign w:val="center"/>
          </w:tcPr>
          <w:p>
            <w:pPr>
              <w:spacing w:after="0"/>
            </w:pPr>
            <w:r>
              <w:rPr>
                <w:b/>
                <w:bCs/>
                <w:color w:val="FFFFFF"/>
                <w:sz w:val="22"/>
                <w:szCs w:val="22"/>
              </w:rPr>
              <w:t xml:space="preserve">Date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Screener (Privacy Office)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DPO (acknowledgement)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Service / Product Owner</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pPr>
            <w:r>
              <w:rPr>
                <w:b w:val="false"/>
                <w:bCs w:val="false"/>
                <w:sz w:val="22"/>
                <w:szCs w:val="22"/>
              </w:rPr>
              <w:t xml:space="preserve"/>
            </w:r>
          </w:p>
        </w:tc>
      </w:tr>
    </w:tbl>
    <w:p>
      <w:pPr>
        <w:pStyle w:val="Heading1"/>
        <w:spacing w:after="200" w:before="360"/>
      </w:pPr>
      <w:r>
        <w:t xml:space="preserve">5. References</w:t>
      </w:r>
    </w:p>
    <w:p>
      <w:pPr>
        <w:pStyle w:val="ListParagraph"/>
        <w:numPr>
          <w:ilvl w:val="0"/>
          <w:numId w:val="2"/>
        </w:numPr>
      </w:pPr>
      <w:r>
        <w:t xml:space="preserve">UK GDPR Article 35 (Data protection impact assessment) and Article 36 (Prior consultation)</w:t>
      </w:r>
    </w:p>
    <w:p>
      <w:pPr>
        <w:pStyle w:val="ListParagraph"/>
        <w:numPr>
          <w:ilvl w:val="0"/>
          <w:numId w:val="2"/>
        </w:numPr>
      </w:pPr>
      <w:r>
        <w:t xml:space="preserve">ICO Guide to the UK GDPR — 'Do we need to do a DPIA?'</w:t>
      </w:r>
    </w:p>
    <w:p>
      <w:pPr>
        <w:pStyle w:val="ListParagraph"/>
        <w:numPr>
          <w:ilvl w:val="0"/>
          <w:numId w:val="2"/>
        </w:numPr>
      </w:pPr>
      <w:r>
        <w:t xml:space="preserve">ICO List of operations for which a DPIA is required (current edition)</w:t>
      </w:r>
    </w:p>
    <w:p>
      <w:pPr>
        <w:pStyle w:val="ListParagraph"/>
        <w:numPr>
          <w:ilvl w:val="0"/>
          <w:numId w:val="2"/>
        </w:numPr>
      </w:pPr>
      <w:r>
        <w:t xml:space="preserve">EDPB Guidelines WP248rev.01 on Data Protection Impact Assessment</w:t>
      </w:r>
    </w:p>
    <w:p>
      <w:pPr>
        <w:pStyle w:val="ListParagraph"/>
        <w:numPr>
          <w:ilvl w:val="0"/>
          <w:numId w:val="2"/>
        </w:numPr>
      </w:pPr>
      <w:r>
        <w:t xml:space="preserve">UK Data Protection Act 2018, Schedules 1–4 (special category and exemption conditions)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6"/>
        <w:szCs w:val="16"/>
      </w:rPr>
      <w:t xml:space="preserve">HealthBridge (fictional) · Page </w:t>
    </w:r>
    <w:r>
      <w:rPr>
        <w:color w:val="4A5568"/>
        <w:sz w:val="16"/>
        <w:szCs w:val="16"/>
      </w:rPr>
      <w:fldChar w:fldCharType="begin"/>
      <w:instrText xml:space="preserve">PAGE</w:instrText>
      <w:fldChar w:fldCharType="separate"/>
      <w:fldChar w:fldCharType="end"/>
    </w:r>
    <w:r>
      <w:rPr>
        <w:color w:val="4A5568"/>
        <w:sz w:val="16"/>
        <w:szCs w:val="16"/>
      </w:rPr>
      <w:t xml:space="preserve"> of </w:t>
    </w:r>
    <w:r>
      <w:rPr>
        <w:color w:val="4A5568"/>
        <w:sz w:val="16"/>
        <w:szCs w:val="16"/>
      </w:rPr>
      <w:fldChar w:fldCharType="begin"/>
      <w:instrText xml:space="preserve">NUMPAGES</w:instrText>
      <w:fldChar w:fldCharType="separate"/>
      <w:fldChar w:fldCharType="end"/>
    </w:r>
    <w:r>
      <w:rPr>
        <w:color w:val="4A5568"/>
        <w:sz w:val="16"/>
        <w:szCs w:val="16"/>
      </w:rPr>
      <w:t xml:space="preserve"> · Portfolio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4A5568"/>
        <w:sz w:val="16"/>
        <w:szCs w:val="16"/>
      </w:rPr>
      <w:t xml:space="preserve">DPIA Screening Checklist · DPIA-SCR-2026-01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A16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2026-05-22T10:59:36.604Z</dcterms:created>
  <dcterms:modified xsi:type="dcterms:W3CDTF">2026-05-22T10:59:36.604Z</dcterms:modified>
</cp:coreProperties>
</file>

<file path=docProps/custom.xml><?xml version="1.0" encoding="utf-8"?>
<Properties xmlns="http://schemas.openxmlformats.org/officeDocument/2006/custom-properties" xmlns:vt="http://schemas.openxmlformats.org/officeDocument/2006/docPropsVTypes"/>
</file>