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color w:val="C9A84C"/>
          <w:spacing w:val="60"/>
          <w:sz w:val="22"/>
          <w:szCs w:val="22"/>
        </w:rPr>
        <w:t xml:space="preserve">DATA PROTECTION IMPACT ASSESSMENT</w:t>
      </w:r>
    </w:p>
    <w:p>
      <w:pPr>
        <w:spacing w:after="240"/>
        <w:jc w:val="left"/>
      </w:pPr>
      <w:r>
        <w:rPr>
          <w:b/>
          <w:bCs/>
          <w:color w:val="0A1628"/>
          <w:sz w:val="48"/>
          <w:szCs w:val="48"/>
        </w:rPr>
        <w:t xml:space="preserve">Telehealth Video Consultation Service</w:t>
      </w:r>
    </w:p>
    <w:p>
      <w:pPr>
        <w:spacing w:after="600"/>
      </w:pPr>
      <w:r>
        <w:rPr>
          <w:color w:val="4A5568"/>
          <w:sz w:val="22"/>
          <w:szCs w:val="22"/>
        </w:rPr>
        <w:t xml:space="preserve">Article 35, UK GDPR · Reference DPIA-2026-01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Controller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HealthBridge Solutions Ltd. (Company No. 12345678)</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Service in scope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Telehealth video consultation service (web &amp; mobile)</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DPIA owner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Privacy Office (Project Lead: Deepak N)</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DPO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[Name], dpo@healthbridge.example</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Version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1.0 (Draft for DPO review)</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Status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DRAFT — awaiting sign-off</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Issue date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22 May 2026</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Next review</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22 May 2027, or on material change</w:t>
            </w:r>
          </w:p>
        </w:tc>
      </w:tr>
    </w:tbl>
    <w:p>
      <w:pPr>
        <w:spacing w:after="800"/>
      </w:pPr>
      <w:r>
        <w:t xml:space="preserve"/>
      </w:r>
    </w:p>
    <w:p>
      <w:pPr>
        <w:jc w:val="left"/>
      </w:pPr>
      <w:r>
        <w:rPr>
          <w:b/>
          <w:bCs/>
          <w:color w:val="B45309"/>
          <w:sz w:val="16"/>
          <w:szCs w:val="16"/>
        </w:rPr>
        <w:t xml:space="preserve">FICTIONAL SCENARIO · PORTFOLIO USE ONLY · NOT A REAL COMPANY OR REAL ASSESSMENT</w:t>
      </w:r>
    </w:p>
    <w:p>
      <w:r>
        <w:br w:type="page"/>
      </w:r>
    </w:p>
    <w:p>
      <w:pPr>
        <w:pStyle w:val="Heading1"/>
        <w:spacing w:after="200" w:before="360"/>
      </w:pPr>
      <w:r>
        <w:t xml:space="preserve">1. Introduction and Purpose</w:t>
      </w:r>
    </w:p>
    <w:p>
      <w:pPr>
        <w:pStyle w:val="Heading2"/>
        <w:spacing w:after="140" w:before="280"/>
      </w:pPr>
      <w:r>
        <w:t xml:space="preserve">1.1 Why this DPIA was carried out</w:t>
      </w:r>
    </w:p>
    <w:p>
      <w:pPr>
        <w:spacing w:after="120" w:line="300"/>
      </w:pPr>
      <w:r>
        <w:t xml:space="preserve">HealthBridge Solutions Ltd. (HealthBridge) is launching a B2C telehealth video consultation service. The service processes special-category health data at scale, uses video as an innovative channel for clinical consultation, and processes data of vulnerable individuals (patients, including children using parental accounts).</w:t>
      </w:r>
    </w:p>
    <w:p>
      <w:pPr>
        <w:spacing w:after="120" w:line="300"/>
      </w:pPr>
      <w:r>
        <w:t xml:space="preserve">Article 35(1) UK GDPR requires a DPIA where processing is likely to result in a high risk to the rights and freedoms of natural persons. Article 35(3)(b) explicitly names large-scale processing of special-category data under Article 9 as a case requiring a DPIA. The ICO's list of operations that always require a DPIA also includes the use of innovative technology in combination with any of the criteria from the European Data Protection Board's WP248rev.01 guidelines. This processing meets at least three of those criteria: special-category data, large-scale, and vulnerable data subjects.</w:t>
      </w:r>
    </w:p>
    <w:p>
      <w:pPr>
        <w:spacing w:after="120" w:line="300"/>
      </w:pPr>
      <w:r>
        <w:t xml:space="preserve">This DPIA has therefore been carried out before the service goes live, in line with the requirement that DPIAs be conducted prior to processing (Article 35(1)).</w:t>
      </w:r>
    </w:p>
    <w:p>
      <w:pPr>
        <w:pStyle w:val="Heading2"/>
        <w:spacing w:after="140" w:before="280"/>
      </w:pPr>
      <w:r>
        <w:t xml:space="preserve">1.2 Scope of this DPIA</w:t>
      </w:r>
    </w:p>
    <w:p>
      <w:pPr>
        <w:spacing w:after="120" w:line="300"/>
      </w:pPr>
      <w:r>
        <w:t xml:space="preserve">In scope:</w:t>
      </w:r>
    </w:p>
    <w:p>
      <w:pPr>
        <w:pStyle w:val="ListParagraph"/>
        <w:numPr>
          <w:ilvl w:val="0"/>
          <w:numId w:val="2"/>
        </w:numPr>
        <w:spacing w:after="80" w:line="300"/>
      </w:pPr>
      <w:r>
        <w:t xml:space="preserve">Patient booking of a video consultation via the HealthBridge web and mobile app</w:t>
      </w:r>
    </w:p>
    <w:p>
      <w:pPr>
        <w:pStyle w:val="ListParagraph"/>
        <w:numPr>
          <w:ilvl w:val="0"/>
          <w:numId w:val="2"/>
        </w:numPr>
        <w:spacing w:after="80" w:line="300"/>
      </w:pPr>
      <w:r>
        <w:t xml:space="preserve">Patient identity verification (SMS one-time passcode and photo-ID matching)</w:t>
      </w:r>
    </w:p>
    <w:p>
      <w:pPr>
        <w:pStyle w:val="ListParagraph"/>
        <w:numPr>
          <w:ilvl w:val="0"/>
          <w:numId w:val="2"/>
        </w:numPr>
        <w:spacing w:after="80" w:line="300"/>
      </w:pPr>
      <w:r>
        <w:t xml:space="preserve">The real-time video consultation between patient and clinician</w:t>
      </w:r>
    </w:p>
    <w:p>
      <w:pPr>
        <w:pStyle w:val="ListParagraph"/>
        <w:numPr>
          <w:ilvl w:val="0"/>
          <w:numId w:val="2"/>
        </w:numPr>
        <w:spacing w:after="80" w:line="300"/>
      </w:pPr>
      <w:r>
        <w:t xml:space="preserve">Optional recording of the consultation (off by default)</w:t>
      </w:r>
    </w:p>
    <w:p>
      <w:pPr>
        <w:pStyle w:val="ListParagraph"/>
        <w:numPr>
          <w:ilvl w:val="0"/>
          <w:numId w:val="2"/>
        </w:numPr>
        <w:spacing w:after="80" w:line="300"/>
      </w:pPr>
      <w:r>
        <w:t xml:space="preserve">AI-generated post-consultation summary, reviewed and edited by the clinician</w:t>
      </w:r>
    </w:p>
    <w:p>
      <w:pPr>
        <w:pStyle w:val="ListParagraph"/>
        <w:numPr>
          <w:ilvl w:val="0"/>
          <w:numId w:val="2"/>
        </w:numPr>
        <w:spacing w:after="80" w:line="300"/>
      </w:pPr>
      <w:r>
        <w:t xml:space="preserve">Storage of the consultation summary in the electronic health record</w:t>
      </w:r>
    </w:p>
    <w:p>
      <w:pPr>
        <w:pStyle w:val="ListParagraph"/>
        <w:numPr>
          <w:ilvl w:val="0"/>
          <w:numId w:val="2"/>
        </w:numPr>
        <w:spacing w:after="80" w:line="300"/>
      </w:pPr>
      <w:r>
        <w:t xml:space="preserve">Onward sharing of summaries with the patient's NHS GP via the GP Connect API where the patient has consented</w:t>
      </w:r>
    </w:p>
    <w:p>
      <w:pPr>
        <w:spacing w:after="120" w:line="300"/>
      </w:pPr>
      <w:r>
        <w:t xml:space="preserve">Out of scope (covered by separate DPIAs or processing records):</w:t>
      </w:r>
    </w:p>
    <w:p>
      <w:pPr>
        <w:pStyle w:val="ListParagraph"/>
        <w:numPr>
          <w:ilvl w:val="0"/>
          <w:numId w:val="2"/>
        </w:numPr>
        <w:spacing w:after="80" w:line="300"/>
      </w:pPr>
      <w:r>
        <w:t xml:space="preserve">Marketing communications (covered by the marketing DPIA)</w:t>
      </w:r>
    </w:p>
    <w:p>
      <w:pPr>
        <w:pStyle w:val="ListParagraph"/>
        <w:numPr>
          <w:ilvl w:val="0"/>
          <w:numId w:val="2"/>
        </w:numPr>
        <w:spacing w:after="80" w:line="300"/>
      </w:pPr>
      <w:r>
        <w:t xml:space="preserve">Employee processing of HealthBridge staff (covered by the HR ROPA)</w:t>
      </w:r>
    </w:p>
    <w:p>
      <w:pPr>
        <w:pStyle w:val="ListParagraph"/>
        <w:numPr>
          <w:ilvl w:val="0"/>
          <w:numId w:val="2"/>
        </w:numPr>
        <w:spacing w:after="80" w:line="300"/>
      </w:pPr>
      <w:r>
        <w:t xml:space="preserve">In-person clinic visits (no longer offered)</w:t>
      </w:r>
    </w:p>
    <w:p>
      <w:pPr>
        <w:pStyle w:val="Heading2"/>
        <w:spacing w:after="140" w:before="280"/>
      </w:pPr>
      <w:r>
        <w:t xml:space="preserve">1.3 How to read this document</w:t>
      </w:r>
    </w:p>
    <w:p>
      <w:pPr>
        <w:spacing w:after="120" w:line="300"/>
      </w:pPr>
      <w:r>
        <w:t xml:space="preserve">Sections 2–4 describe the processing and assess necessity and proportionality. Section 5 identifies the risks to data subjects, scores them using the methodology in Section 5.1, and lists the mitigations. Section 6 records residual risk and the DPO's advice. Annex A lists the systems and processors involved; Annex B lists the data categories; Annex C is a glossary.</w:t>
      </w:r>
    </w:p>
    <w:p>
      <w:pPr>
        <w:pStyle w:val="Heading1"/>
        <w:spacing w:after="200" w:before="360"/>
      </w:pPr>
      <w:r>
        <w:t xml:space="preserve">2. Description of the Processing</w:t>
      </w:r>
    </w:p>
    <w:p>
      <w:pPr>
        <w:pStyle w:val="Heading2"/>
        <w:spacing w:after="140" w:before="280"/>
      </w:pPr>
      <w:r>
        <w:t xml:space="preserve">2.1 Service overview</w:t>
      </w:r>
    </w:p>
    <w:p>
      <w:pPr>
        <w:spacing w:after="120" w:line="300"/>
      </w:pPr>
      <w:r>
        <w:t xml:space="preserve">The telehealth service allows a registered HealthBridge patient to book a same-day or scheduled video consultation with a GMC-registered general practitioner. The consultation takes place in the HealthBridge mobile app or web browser using Zoom for Healthcare as the embedded video provider. The clinician completes a consultation summary that is saved to the patient's HealthBridge health record and, with the patient's consent, transmitted to their NHS GP.</w:t>
      </w:r>
    </w:p>
    <w:p>
      <w:pPr>
        <w:pStyle w:val="Heading2"/>
        <w:spacing w:after="140" w:before="280"/>
      </w:pPr>
      <w:r>
        <w:t xml:space="preserve">2.2 Nature of the processing — how data flows</w:t>
      </w:r>
    </w:p>
    <w:p>
      <w:pPr>
        <w:spacing w:after="120" w:line="300"/>
      </w:pPr>
      <w:r>
        <w:t xml:space="preserve">The end-to-end flow is as follows:</w:t>
      </w:r>
    </w:p>
    <w:p>
      <w:pPr>
        <w:pStyle w:val="ListParagraph"/>
        <w:numPr>
          <w:ilvl w:val="0"/>
          <w:numId w:val="2"/>
        </w:numPr>
        <w:spacing w:after="80" w:line="300"/>
      </w:pPr>
      <w:r>
        <w:rPr>
          <w:b/>
          <w:bCs/>
        </w:rPr>
        <w:t xml:space="preserve">Registration: </w:t>
      </w:r>
      <w:r>
        <w:t xml:space="preserve">the patient creates an account, providing name, date of birth, address, NHS number (optional), contact details, and verifies identity via photo-ID upload checked by Onfido (UK-based processor).</w:t>
      </w:r>
    </w:p>
    <w:p>
      <w:pPr>
        <w:pStyle w:val="ListParagraph"/>
        <w:numPr>
          <w:ilvl w:val="0"/>
          <w:numId w:val="2"/>
        </w:numPr>
        <w:spacing w:after="80" w:line="300"/>
      </w:pPr>
      <w:r>
        <w:rPr>
          <w:b/>
          <w:bCs/>
        </w:rPr>
        <w:t xml:space="preserve">Booking: </w:t>
      </w:r>
      <w:r>
        <w:t xml:space="preserve">the patient selects a clinician and time slot in the app; the booking is written to HealthBridge's clinical system (hosted on AWS Europe — London region).</w:t>
      </w:r>
    </w:p>
    <w:p>
      <w:pPr>
        <w:pStyle w:val="ListParagraph"/>
        <w:numPr>
          <w:ilvl w:val="0"/>
          <w:numId w:val="2"/>
        </w:numPr>
        <w:spacing w:after="80" w:line="300"/>
      </w:pPr>
      <w:r>
        <w:rPr>
          <w:b/>
          <w:bCs/>
        </w:rPr>
        <w:t xml:space="preserve">Pre-consultation: </w:t>
      </w:r>
      <w:r>
        <w:t xml:space="preserve">the patient completes a short symptom triage form; results stored in the clinical system.</w:t>
      </w:r>
    </w:p>
    <w:p>
      <w:pPr>
        <w:pStyle w:val="ListParagraph"/>
        <w:numPr>
          <w:ilvl w:val="0"/>
          <w:numId w:val="2"/>
        </w:numPr>
        <w:spacing w:after="80" w:line="300"/>
      </w:pPr>
      <w:r>
        <w:rPr>
          <w:b/>
          <w:bCs/>
        </w:rPr>
        <w:t xml:space="preserve">Authentication: </w:t>
      </w:r>
      <w:r>
        <w:t xml:space="preserve">at appointment time, the patient receives an SMS OTP via Twilio (US infrastructure) and joins the video session.</w:t>
      </w:r>
    </w:p>
    <w:p>
      <w:pPr>
        <w:pStyle w:val="ListParagraph"/>
        <w:numPr>
          <w:ilvl w:val="0"/>
          <w:numId w:val="2"/>
        </w:numPr>
        <w:spacing w:after="80" w:line="300"/>
      </w:pPr>
      <w:r>
        <w:rPr>
          <w:b/>
          <w:bCs/>
        </w:rPr>
        <w:t xml:space="preserve">Consultation: </w:t>
      </w:r>
      <w:r>
        <w:t xml:space="preserve">video and audio are transmitted in real time via Zoom for Healthcare. Video is NOT recorded by default. Recording occurs only where the patient explicitly opts in for the session (unchecked by default in the join screen).</w:t>
      </w:r>
    </w:p>
    <w:p>
      <w:pPr>
        <w:pStyle w:val="ListParagraph"/>
        <w:numPr>
          <w:ilvl w:val="0"/>
          <w:numId w:val="2"/>
        </w:numPr>
        <w:spacing w:after="80" w:line="300"/>
      </w:pPr>
      <w:r>
        <w:rPr>
          <w:b/>
          <w:bCs/>
        </w:rPr>
        <w:t xml:space="preserve">AI summary: </w:t>
      </w:r>
      <w:r>
        <w:t xml:space="preserve">an internal AI assistant (HealthBridge Scribe) running in the AWS London region produces a draft clinical summary from the live audio transcript. The transcript is held in memory only and discarded after summary generation.</w:t>
      </w:r>
    </w:p>
    <w:p>
      <w:pPr>
        <w:pStyle w:val="ListParagraph"/>
        <w:numPr>
          <w:ilvl w:val="0"/>
          <w:numId w:val="2"/>
        </w:numPr>
        <w:spacing w:after="80" w:line="300"/>
      </w:pPr>
      <w:r>
        <w:rPr>
          <w:b/>
          <w:bCs/>
        </w:rPr>
        <w:t xml:space="preserve">Clinician review: </w:t>
      </w:r>
      <w:r>
        <w:t xml:space="preserve">the clinician reviews, edits, and saves the summary. The summary is the authoritative clinical record; the AI draft is not retained.</w:t>
      </w:r>
    </w:p>
    <w:p>
      <w:pPr>
        <w:pStyle w:val="ListParagraph"/>
        <w:numPr>
          <w:ilvl w:val="0"/>
          <w:numId w:val="2"/>
        </w:numPr>
        <w:spacing w:after="80" w:line="300"/>
      </w:pPr>
      <w:r>
        <w:rPr>
          <w:b/>
          <w:bCs/>
        </w:rPr>
        <w:t xml:space="preserve">Sharing: </w:t>
      </w:r>
      <w:r>
        <w:t xml:space="preserve">if the patient has consented, the summary is transmitted to the patient's NHS GP via the NHS Digital GP Connect API.</w:t>
      </w:r>
    </w:p>
    <w:p>
      <w:pPr>
        <w:pStyle w:val="ListParagraph"/>
        <w:numPr>
          <w:ilvl w:val="0"/>
          <w:numId w:val="2"/>
        </w:numPr>
        <w:spacing w:after="80" w:line="300"/>
      </w:pPr>
      <w:r>
        <w:rPr>
          <w:b/>
          <w:bCs/>
        </w:rPr>
        <w:t xml:space="preserve">Retention: </w:t>
      </w:r>
      <w:r>
        <w:t xml:space="preserve">the consultation summary is retained for the lifetime of the patient plus 10 years after death, in line with the NHS Records Management Code of Practice 2021 (GP records retention schedule). The same period applies to records of adult and child patients; paediatric records are reviewed for continued retention where required by clinical-safety standards.</w:t>
      </w:r>
    </w:p>
    <w:p>
      <w:pPr>
        <w:pStyle w:val="Heading2"/>
        <w:spacing w:after="140" w:before="280"/>
      </w:pPr>
      <w:r>
        <w:t xml:space="preserve">2.3 Scope of the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Dimension</w:t>
            </w:r>
          </w:p>
        </w:tc>
        <w:tc>
          <w:tcPr>
            <w:tcW w:type="dxa" w:w="67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Value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sz w:val="22"/>
                <w:szCs w:val="22"/>
              </w:rPr>
              <w:t xml:space="preserve">Volume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Approx. 38,000 registered patients at launch; projected ~300 consultations per working day in year 1</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sz w:val="22"/>
                <w:szCs w:val="22"/>
              </w:rPr>
              <w:t xml:space="preserve">Geographic scope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Patients in England, Wales, Scotland and Northern Ireland. Occasional EEA patients (expats) — processed under EU GDPR equivalent terms.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sz w:val="22"/>
                <w:szCs w:val="22"/>
              </w:rPr>
              <w:t xml:space="preserve">Duration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Ongoing service. Patient records retained for the periods set out in section 2.2 above.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sz w:val="22"/>
                <w:szCs w:val="22"/>
              </w:rPr>
              <w:t xml:space="preserve">Frequency</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Patients may have multiple consultations per year; frequency varies by clinical need. Utilisation will be monitored post-launch and reflected in the next DPIA review.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sz w:val="22"/>
                <w:szCs w:val="22"/>
              </w:rPr>
              <w:t xml:space="preserve">Special-category data</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 — health data (Article 9(1) UK GDPR) is the core data category processed.</w:t>
            </w:r>
          </w:p>
        </w:tc>
      </w:tr>
    </w:tbl>
    <w:p>
      <w:pPr>
        <w:pStyle w:val="Heading2"/>
        <w:spacing w:after="140" w:before="280"/>
      </w:pPr>
      <w:r>
        <w:t xml:space="preserve">2.4 Context of the processing</w:t>
      </w:r>
    </w:p>
    <w:p>
      <w:pPr>
        <w:spacing w:after="120" w:line="300"/>
      </w:pPr>
      <w:r>
        <w:t xml:space="preserve">Patients consulting through HealthBridge have a reasonable expectation of clinical confidentiality, equivalent to a face-to-face GP appointment. This expectation is rooted in the doctor–patient relationship and reinforced by the common-law duty of confidentiality and General Medical Council guidance. Patients are often in their own homes during the consultation, which raises a privacy consideration that does not arise in a clinical setting (third parties potentially overhearing).</w:t>
      </w:r>
    </w:p>
    <w:p>
      <w:pPr>
        <w:spacing w:after="120" w:line="300"/>
      </w:pPr>
      <w:r>
        <w:t xml:space="preserve">The patient population includes some vulnerable groups: children aged 13–17 using accounts created by parents/guardians, patients with mental-health conditions, and patients with limited digital literacy. The DPIA assesses risk against the most vulnerable reasonable user. Because the service is likely to be accessed by children, HealthBridge applies the ICO Age Appropriate Design Code (the 'Children's Code'). The Code's 15 standards — including 'best interests of the child', default high-privacy settings, data minimisation, transparency in age-appropriate language, restrictions on nudge techniques, and parental-controls transparency — are reflected throughout this DPIA and in the service design.</w:t>
      </w:r>
    </w:p>
    <w:p>
      <w:pPr>
        <w:pStyle w:val="Heading2"/>
        <w:spacing w:after="140" w:before="280"/>
      </w:pPr>
      <w:r>
        <w:t xml:space="preserve">2.5 Purposes of the processing</w:t>
      </w:r>
    </w:p>
    <w:p>
      <w:pPr>
        <w:pStyle w:val="ListParagraph"/>
        <w:numPr>
          <w:ilvl w:val="0"/>
          <w:numId w:val="2"/>
        </w:numPr>
        <w:spacing w:after="80" w:line="300"/>
      </w:pPr>
      <w:r>
        <w:t xml:space="preserve">Provision of healthcare to the individual patient (primary purpose)</w:t>
      </w:r>
    </w:p>
    <w:p>
      <w:pPr>
        <w:pStyle w:val="ListParagraph"/>
        <w:numPr>
          <w:ilvl w:val="0"/>
          <w:numId w:val="2"/>
        </w:numPr>
        <w:spacing w:after="80" w:line="300"/>
      </w:pPr>
      <w:r>
        <w:t xml:space="preserve">Creation and maintenance of a clinical record</w:t>
      </w:r>
    </w:p>
    <w:p>
      <w:pPr>
        <w:pStyle w:val="ListParagraph"/>
        <w:numPr>
          <w:ilvl w:val="0"/>
          <w:numId w:val="2"/>
        </w:numPr>
        <w:spacing w:after="80" w:line="300"/>
      </w:pPr>
      <w:r>
        <w:t xml:space="preserve">Continuity of care with the patient's NHS GP, where the patient has consented to data sharing</w:t>
      </w:r>
    </w:p>
    <w:p>
      <w:pPr>
        <w:pStyle w:val="ListParagraph"/>
        <w:numPr>
          <w:ilvl w:val="0"/>
          <w:numId w:val="2"/>
        </w:numPr>
        <w:spacing w:after="80" w:line="300"/>
      </w:pPr>
      <w:r>
        <w:t xml:space="preserve">Clinical safety monitoring and audit (e.g., review of clinician decision-making)</w:t>
      </w:r>
    </w:p>
    <w:p>
      <w:pPr>
        <w:pStyle w:val="ListParagraph"/>
        <w:numPr>
          <w:ilvl w:val="0"/>
          <w:numId w:val="2"/>
        </w:numPr>
        <w:spacing w:after="80" w:line="300"/>
      </w:pPr>
      <w:r>
        <w:t xml:space="preserve">Service performance and quality improvement (using de-identified data where possible)</w:t>
      </w:r>
    </w:p>
    <w:p>
      <w:pPr>
        <w:pStyle w:val="Heading2"/>
        <w:spacing w:after="140" w:before="280"/>
      </w:pPr>
      <w:r>
        <w:t xml:space="preserve">2.6 Categories of personal data</w:t>
      </w:r>
    </w:p>
    <w:p>
      <w:pPr>
        <w:spacing w:after="120" w:line="300"/>
      </w:pPr>
      <w:r>
        <w:t xml:space="preserve">See Annex B for the full data inventory. Headline categories:</w:t>
      </w:r>
    </w:p>
    <w:p>
      <w:pPr>
        <w:pStyle w:val="ListParagraph"/>
        <w:numPr>
          <w:ilvl w:val="0"/>
          <w:numId w:val="2"/>
        </w:numPr>
        <w:spacing w:after="80" w:line="300"/>
      </w:pPr>
      <w:r>
        <w:t xml:space="preserve">Identity data: name, date of birth, address, photograph, photo-ID image</w:t>
      </w:r>
    </w:p>
    <w:p>
      <w:pPr>
        <w:pStyle w:val="ListParagraph"/>
        <w:numPr>
          <w:ilvl w:val="0"/>
          <w:numId w:val="2"/>
        </w:numPr>
        <w:spacing w:after="80" w:line="300"/>
      </w:pPr>
      <w:r>
        <w:t xml:space="preserve">Contact data: phone, email</w:t>
      </w:r>
    </w:p>
    <w:p>
      <w:pPr>
        <w:pStyle w:val="ListParagraph"/>
        <w:numPr>
          <w:ilvl w:val="0"/>
          <w:numId w:val="2"/>
        </w:numPr>
        <w:spacing w:after="80" w:line="300"/>
      </w:pPr>
      <w:r>
        <w:t xml:space="preserve">Account data: username, hashed password, login history</w:t>
      </w:r>
    </w:p>
    <w:p>
      <w:pPr>
        <w:pStyle w:val="ListParagraph"/>
        <w:numPr>
          <w:ilvl w:val="0"/>
          <w:numId w:val="2"/>
        </w:numPr>
        <w:spacing w:after="80" w:line="300"/>
      </w:pPr>
      <w:r>
        <w:t xml:space="preserve">Health data (Article 9): presenting symptoms, diagnoses, prescriptions, allergies, consultation video (if recorded), consultation audio transcript (transient), consultation summary</w:t>
      </w:r>
    </w:p>
    <w:p>
      <w:pPr>
        <w:pStyle w:val="ListParagraph"/>
        <w:numPr>
          <w:ilvl w:val="0"/>
          <w:numId w:val="2"/>
        </w:numPr>
        <w:spacing w:after="80" w:line="300"/>
      </w:pPr>
      <w:r>
        <w:t xml:space="preserve">Identifiers: NHS number (where provided), HealthBridge patient ID</w:t>
      </w:r>
    </w:p>
    <w:p>
      <w:pPr>
        <w:pStyle w:val="ListParagraph"/>
        <w:numPr>
          <w:ilvl w:val="0"/>
          <w:numId w:val="2"/>
        </w:numPr>
        <w:spacing w:after="80" w:line="300"/>
      </w:pPr>
      <w:r>
        <w:t xml:space="preserve">Technical data: device identifier, IP address, app version, connection quality logs</w:t>
      </w:r>
    </w:p>
    <w:p>
      <w:pPr>
        <w:pStyle w:val="ListParagraph"/>
        <w:numPr>
          <w:ilvl w:val="0"/>
          <w:numId w:val="2"/>
        </w:numPr>
        <w:spacing w:after="80" w:line="300"/>
      </w:pPr>
      <w:r>
        <w:t xml:space="preserve">Payment data: tokenised card details (processed by Stripe; HealthBridge does not store PAN)</w:t>
      </w:r>
    </w:p>
    <w:p>
      <w:pPr>
        <w:pStyle w:val="Heading2"/>
        <w:spacing w:after="140" w:before="280"/>
      </w:pPr>
      <w:r>
        <w:t xml:space="preserve">2.7 Categories of data subject</w:t>
      </w:r>
    </w:p>
    <w:p>
      <w:pPr>
        <w:pStyle w:val="ListParagraph"/>
        <w:numPr>
          <w:ilvl w:val="0"/>
          <w:numId w:val="2"/>
        </w:numPr>
        <w:spacing w:after="80" w:line="300"/>
      </w:pPr>
      <w:r>
        <w:t xml:space="preserve">Adult patients (18+) — the majority</w:t>
      </w:r>
    </w:p>
    <w:p>
      <w:pPr>
        <w:pStyle w:val="ListParagraph"/>
        <w:numPr>
          <w:ilvl w:val="0"/>
          <w:numId w:val="2"/>
        </w:numPr>
        <w:spacing w:after="80" w:line="300"/>
      </w:pPr>
      <w:r>
        <w:t xml:space="preserve">Children aged 13–17 with consent of a parent/guardian</w:t>
      </w:r>
    </w:p>
    <w:p>
      <w:pPr>
        <w:pStyle w:val="ListParagraph"/>
        <w:numPr>
          <w:ilvl w:val="0"/>
          <w:numId w:val="2"/>
        </w:numPr>
        <w:spacing w:after="80" w:line="300"/>
      </w:pPr>
      <w:r>
        <w:t xml:space="preserve">Parents/guardians acting on behalf of a child</w:t>
      </w:r>
    </w:p>
    <w:p>
      <w:pPr>
        <w:pStyle w:val="ListParagraph"/>
        <w:numPr>
          <w:ilvl w:val="0"/>
          <w:numId w:val="2"/>
        </w:numPr>
        <w:spacing w:after="80" w:line="300"/>
      </w:pPr>
      <w:r>
        <w:t xml:space="preserve">Clinicians (limited employee-data overlap; covered in HR ROPA)</w:t>
      </w:r>
    </w:p>
    <w:p>
      <w:pPr>
        <w:pStyle w:val="Heading2"/>
        <w:spacing w:after="140" w:before="280"/>
      </w:pPr>
      <w:r>
        <w:t xml:space="preserve">2.8 Recipients and processors</w:t>
      </w:r>
    </w:p>
    <w:p>
      <w:pPr>
        <w:spacing w:after="120" w:line="300"/>
      </w:pPr>
      <w:r>
        <w:t xml:space="preserve">The full vendor list comprises 10 third-party recipients/processors. Seven are US-based (triggering Chapter V transfer requirements); three are UK-based.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80"/>
        <w:gridCol w:w="2080"/>
      </w:tblGrid>
      <w:tr>
        <w:tc>
          <w:tcPr>
            <w:tcW w:type="dxa" w:w="2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Recipient / processor</w:t>
            </w:r>
          </w:p>
        </w:tc>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28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Purpose</w:t>
            </w:r>
          </w:p>
        </w:tc>
        <w:tc>
          <w:tcPr>
            <w:tcW w:type="dxa" w:w="20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Location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AWS (Europe — London)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Cloud hosting of the clinical system</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UK</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Zoom for Healthcare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Video consultation infrastructure</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Twilio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SMS one-time passcodes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SendGrid (Twilio group)</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Transactional email (appointment confirmations, password resets)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Onfido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Photo-ID identity verification</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UK</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Stripe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Independent controller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Payment processing (card data tokenised; PAN not held by HealthBridge)</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 / IE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HubSpot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Marketing CRM (out of scope of this DPIA — no health data)</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Intercom</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In-app support chat (with technical-issue-only routing rules; clinical content prohibited)</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Datadog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Application logging and observability (PII scrubbing applied at ingest)</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NHS Digital (GP Connect)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Controller — infrastructure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API infrastructure for transmission of summary to the patient's NHS GP practice (with consent). The receiving GP practice is the independent controller of the GP-held record.</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UK</w:t>
            </w:r>
          </w:p>
        </w:tc>
      </w:tr>
    </w:tbl>
    <w:p>
      <w:pPr>
        <w:pStyle w:val="Heading2"/>
        <w:spacing w:after="140" w:before="280"/>
      </w:pPr>
      <w:r>
        <w:t xml:space="preserve">2.9 International transfers</w:t>
      </w:r>
    </w:p>
    <w:p>
      <w:pPr>
        <w:spacing w:after="120" w:line="300"/>
      </w:pPr>
      <w:r>
        <w:t xml:space="preserve">Seven processors operate from US infrastructure and trigger Chapter V (Articles 44–49) UK GDPR transfer rules. The transfer mechanism is the UK International Data Transfer Addendum to the EU SCCs (or, where the importer is certified to the UK extension of the EU-US Data Privacy Framework, that framework). A Transfer Impact Assessment has been completed for each per EDPB Recommendations 01/2020.</w:t>
      </w:r>
    </w:p>
    <w:p>
      <w:pPr>
        <w:pStyle w:val="ListParagraph"/>
        <w:numPr>
          <w:ilvl w:val="0"/>
          <w:numId w:val="2"/>
        </w:numPr>
        <w:spacing w:after="80" w:line="300"/>
      </w:pPr>
      <w:r>
        <w:t xml:space="preserve">Zoom for Healthcare — video and audio of the consultation; recording metadata. Supplementary measures: end-to-end encryption for the meeting payload where the client supports it; AES-256 at rest; HealthBridge-held encryption keys for stored recordings.</w:t>
      </w:r>
    </w:p>
    <w:p>
      <w:pPr>
        <w:pStyle w:val="ListParagraph"/>
        <w:numPr>
          <w:ilvl w:val="0"/>
          <w:numId w:val="2"/>
        </w:numPr>
        <w:spacing w:after="80" w:line="300"/>
      </w:pPr>
      <w:r>
        <w:t xml:space="preserve">Twilio — 6-digit OTP code; recipient phone number. No health data via SMS.</w:t>
      </w:r>
    </w:p>
    <w:p>
      <w:pPr>
        <w:pStyle w:val="ListParagraph"/>
        <w:numPr>
          <w:ilvl w:val="0"/>
          <w:numId w:val="2"/>
        </w:numPr>
        <w:spacing w:after="80" w:line="300"/>
      </w:pPr>
      <w:r>
        <w:t xml:space="preserve">SendGrid — patient name and email; appointment date/time. No clinical detail in email body.</w:t>
      </w:r>
    </w:p>
    <w:p>
      <w:pPr>
        <w:pStyle w:val="ListParagraph"/>
        <w:numPr>
          <w:ilvl w:val="0"/>
          <w:numId w:val="2"/>
        </w:numPr>
        <w:spacing w:after="80" w:line="300"/>
      </w:pPr>
      <w:r>
        <w:t xml:space="preserve">Stripe — payment card token; transaction amount; patient identifier. No health-data category.</w:t>
      </w:r>
    </w:p>
    <w:p>
      <w:pPr>
        <w:pStyle w:val="ListParagraph"/>
        <w:numPr>
          <w:ilvl w:val="0"/>
          <w:numId w:val="2"/>
        </w:numPr>
        <w:spacing w:after="80" w:line="300"/>
      </w:pPr>
      <w:r>
        <w:t xml:space="preserve">HubSpot — marketing data only; no health data (covered by separate marketing DPIA).</w:t>
      </w:r>
    </w:p>
    <w:p>
      <w:pPr>
        <w:pStyle w:val="ListParagraph"/>
        <w:numPr>
          <w:ilvl w:val="0"/>
          <w:numId w:val="2"/>
        </w:numPr>
        <w:spacing w:after="80" w:line="300"/>
      </w:pPr>
      <w:r>
        <w:t xml:space="preserve">Intercom — support-chat content. Routing rules prohibit clinical content; in-app prompts steer clinical questions to the consultation channel.</w:t>
      </w:r>
    </w:p>
    <w:p>
      <w:pPr>
        <w:pStyle w:val="ListParagraph"/>
        <w:numPr>
          <w:ilvl w:val="0"/>
          <w:numId w:val="2"/>
        </w:numPr>
        <w:spacing w:after="80" w:line="300"/>
      </w:pPr>
      <w:r>
        <w:t xml:space="preserve">Datadog — application logs and observability data. PII scrubbing is applied at ingest by an AWS-side pipeline; health data is excluded from logs by design.</w:t>
      </w:r>
    </w:p>
    <w:p>
      <w:pPr>
        <w:spacing w:after="120" w:line="300"/>
      </w:pPr>
      <w:r>
        <w:t xml:space="preserve">AWS data is stored in the AWS Europe (London) region with contractual restrictions preventing transfer outside the UK or EEA without HealthBridge's instruction. Support access from outside the UK is subject to AWS's documented controls and the UK Addendum where invoked.</w:t>
      </w:r>
    </w:p>
    <w:p>
      <w:pPr>
        <w:pStyle w:val="Heading2"/>
        <w:spacing w:after="140" w:before="280"/>
      </w:pPr>
      <w:r>
        <w:t xml:space="preserve">2.10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Data category</w:t>
            </w:r>
          </w:p>
        </w:tc>
        <w:tc>
          <w:tcPr>
            <w:tcW w:type="dxa" w:w="28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Retention period</w:t>
            </w:r>
          </w:p>
        </w:tc>
        <w:tc>
          <w:tcPr>
            <w:tcW w:type="dxa" w:w="28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Basis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Clinical record (consultation summary)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Lifetime of patient + 10 years after death</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NHS Records Management Code of Practice 2021 (GP records retention schedule)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Video recording (where opted 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30 days from consultation, then auto-delete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Internal policy — minimisation; clinical-safety review window</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Audio transcript (AI summary input)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Held in memory only; discarded post-summary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Data minimisation, Article 5(1)(c)</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Identity verification image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12 months from verification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Fraud prevention; Onfido contractual retention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Account log-in records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12 months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Security, Article 32</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Closed account data (where deletion is requested)</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Clinical record retained per above; non-clinical data deleted within 30 days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Erasure exemption for healthcare records, UK DPA 2018</w:t>
            </w:r>
          </w:p>
        </w:tc>
      </w:tr>
    </w:tbl>
    <w:p>
      <w:pPr>
        <w:pStyle w:val="Heading1"/>
        <w:spacing w:after="200" w:before="360"/>
      </w:pPr>
      <w:r>
        <w:t xml:space="preserve">3. Consultation</w:t>
      </w:r>
    </w:p>
    <w:p>
      <w:pPr>
        <w:spacing w:after="120" w:line="300"/>
      </w:pPr>
      <w:r>
        <w:t xml:space="preserve">The DPIA process consulted the following stakeholders. Article 35(9) UK GDPR requires the views of data subjects, or their representatives, to be sought where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Stakeholder</w:t>
            </w:r>
          </w:p>
        </w:tc>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Consulted</w:t>
            </w:r>
          </w:p>
        </w:tc>
        <w:tc>
          <w:tcPr>
            <w:tcW w:type="dxa" w:w="49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Issues raised and reflected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 — full review</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Required explicit opt-in for recording; required clarification of AI transcript retention; required Schrems II TIA for Zoom.</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Patient panel (12 patients)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 — focus group, 4 April 2026</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Concern about being overheard at home; concern about how to delete recordings; preference for plain-English consent.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Clinicians (5 GPs)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Concern that the AI summary could embed errors. Mitigation: AI summary marked as draft; clinician must explicitly save the final version.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Information Security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Required encryption-in-transit verification for Zoom; required SOC 2 evidence from AWS and Zoom.</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Clinical safety lead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DCB0129 / DCB0160 hazard log raised separately. Identified the AI-summary error pathway as a clinical-safety risk; reflected in Risk R-05.</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Zoom for Healthcare (vendor)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Yes — written responses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Confirmed encryption controls; provided current sub-processor list; UK Addendum executed.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ICO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Not consulted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Article 36 prior consultation is required where the DPIA indicates a high residual risk that the controller's measures do not mitigate. No such residual risk has been identified (see section 6).</w:t>
            </w:r>
          </w:p>
        </w:tc>
      </w:tr>
    </w:tbl>
    <w:p>
      <w:pPr>
        <w:pStyle w:val="Heading1"/>
        <w:spacing w:after="200" w:before="360"/>
      </w:pPr>
      <w:r>
        <w:t xml:space="preserve">4. Necessity and Proportionality</w:t>
      </w:r>
    </w:p>
    <w:p>
      <w:pPr>
        <w:pStyle w:val="Heading2"/>
        <w:spacing w:after="140" w:before="280"/>
      </w:pPr>
      <w:r>
        <w:t xml:space="preserve">4.1 Lawful basis</w:t>
      </w:r>
    </w:p>
    <w:p>
      <w:pPr>
        <w:spacing w:after="120" w:line="300"/>
      </w:pPr>
      <w:r>
        <w:t xml:space="preserve">Each processing purpose is mapped to an Article 6 lawful basis and, for health data, an Article 9 condition. The mapping below reflects the headline purposes; Annex B contains the per-data-category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Purpose</w:t>
            </w:r>
          </w:p>
        </w:tc>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Art. 6 basis</w:t>
            </w:r>
          </w:p>
        </w:tc>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Art. 9 condition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Provision of remote healthcare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6(1)(b) — contract with patient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9(2)(h) — provision of health or social care, read with UK DPA 2018 Sch.1 Pt.1 para 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Creation of clinical record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6(1)(c) — legal obligation (clinical record-keeping under Health &amp; Social Care Act 2012; GMC standards)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9(2)(h)</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Sharing with NHS GP via GP Connect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6(1)(a) — explicit patient consent at point of opt-in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9(2)(a) — explicit consent (for the special-category element)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Clinical safety audit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6(1)(f) — legitimate interest; LIA on file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9(2)(h) — provision of healthcare; quality monitoring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Fraud prevention (ID verification)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6(1)(f) — legitimate interest; LIA on file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Not applicable — ID verification data is not special-category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Security logging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6(1)(c) and 6(1)(f) — Article 32 obligation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Not applicable</w:t>
            </w:r>
          </w:p>
        </w:tc>
      </w:tr>
    </w:tbl>
    <w:p>
      <w:pPr>
        <w:spacing w:after="120" w:line="300"/>
      </w:pPr>
      <w:r>
        <w:t xml:space="preserve">Consent has deliberately been limited to the GP-sharing decision; clinical care itself does not rely on consent, because consent can be withdrawn and that would compromise the duty of care. This is consistent with ICO guidance on lawful basis for healthcare providers.</w:t>
      </w:r>
    </w:p>
    <w:p>
      <w:pPr>
        <w:pStyle w:val="Heading2"/>
        <w:spacing w:after="140" w:before="280"/>
      </w:pPr>
      <w:r>
        <w:t xml:space="preserve">4.2 Necessity</w:t>
      </w:r>
    </w:p>
    <w:p>
      <w:pPr>
        <w:spacing w:after="120" w:line="300"/>
      </w:pPr>
      <w:r>
        <w:t xml:space="preserve">The processing is necessary to provide the service. Video is the least-intrusive way to deliver a clinical consultation when in-person attendance is not feasible — telephone consultation is an alternative but is less clinically effective for cases involving visible symptoms (skin conditions, mobility, post-operative review). Recording is not necessary for the consultation itself; recording is therefore off by default and is justified only when the patient opts in for that session, in which case it supports clinical-safety review.</w:t>
      </w:r>
    </w:p>
    <w:p>
      <w:pPr>
        <w:pStyle w:val="Heading2"/>
        <w:spacing w:after="140" w:before="280"/>
      </w:pPr>
      <w:r>
        <w:t xml:space="preserve">4.3 Data minimisation (Article 5(1)(c))</w:t>
      </w:r>
    </w:p>
    <w:p>
      <w:pPr>
        <w:spacing w:after="120" w:line="300"/>
      </w:pPr>
      <w:r>
        <w:t xml:space="preserve">The data collected at each stage has been mapped against the purpose. Three minimisation measures have been adopted as a result of the DPIA:</w:t>
      </w:r>
    </w:p>
    <w:p>
      <w:pPr>
        <w:pStyle w:val="ListParagraph"/>
        <w:numPr>
          <w:ilvl w:val="0"/>
          <w:numId w:val="2"/>
        </w:numPr>
        <w:spacing w:after="80" w:line="300"/>
      </w:pPr>
      <w:r>
        <w:t xml:space="preserve">Symptom-triage form fields reduced from 14 to 9 — five non-essential fields removed.</w:t>
      </w:r>
    </w:p>
    <w:p>
      <w:pPr>
        <w:pStyle w:val="ListParagraph"/>
        <w:numPr>
          <w:ilvl w:val="0"/>
          <w:numId w:val="2"/>
        </w:numPr>
        <w:spacing w:after="80" w:line="300"/>
      </w:pPr>
      <w:r>
        <w:t xml:space="preserve">AI transcript held in memory only and not persisted — only the clinician-approved summary is retained.</w:t>
      </w:r>
    </w:p>
    <w:p>
      <w:pPr>
        <w:pStyle w:val="ListParagraph"/>
        <w:numPr>
          <w:ilvl w:val="0"/>
          <w:numId w:val="2"/>
        </w:numPr>
        <w:spacing w:after="80" w:line="300"/>
      </w:pPr>
      <w:r>
        <w:t xml:space="preserve">Video recording disabled by default and retained for 30 days only.</w:t>
      </w:r>
    </w:p>
    <w:p>
      <w:pPr>
        <w:pStyle w:val="Heading2"/>
        <w:spacing w:after="140" w:before="280"/>
      </w:pPr>
      <w:r>
        <w:t xml:space="preserve">4.4 Accuracy (Article 5(1)(d))</w:t>
      </w:r>
    </w:p>
    <w:p>
      <w:pPr>
        <w:spacing w:after="120" w:line="300"/>
      </w:pPr>
      <w:r>
        <w:t xml:space="preserve">Two specific accuracy controls are required by this DPIA:</w:t>
      </w:r>
    </w:p>
    <w:p>
      <w:pPr>
        <w:pStyle w:val="ListParagraph"/>
        <w:numPr>
          <w:ilvl w:val="0"/>
          <w:numId w:val="2"/>
        </w:numPr>
        <w:spacing w:after="80" w:line="300"/>
      </w:pPr>
      <w:r>
        <w:t xml:space="preserve">AI summary is marked as 'AI-drafted' and must be confirmed by the clinician before saving. The clinician is the accountable party for the final record.</w:t>
      </w:r>
    </w:p>
    <w:p>
      <w:pPr>
        <w:pStyle w:val="ListParagraph"/>
        <w:numPr>
          <w:ilvl w:val="0"/>
          <w:numId w:val="2"/>
        </w:numPr>
        <w:spacing w:after="80" w:line="300"/>
      </w:pPr>
      <w:r>
        <w:t xml:space="preserve">Patients may flag inaccuracies via the in-app 'Report a record issue' feature, which triggers an Article 16 rectification workflow.</w:t>
      </w:r>
    </w:p>
    <w:p>
      <w:pPr>
        <w:pStyle w:val="Heading2"/>
        <w:spacing w:after="140" w:before="280"/>
      </w:pPr>
      <w:r>
        <w:t xml:space="preserve">4.5 Retention proportionality</w:t>
      </w:r>
    </w:p>
    <w:p>
      <w:pPr>
        <w:spacing w:after="120" w:line="300"/>
      </w:pPr>
      <w:r>
        <w:t xml:space="preserve">Clinical-record retention follows the NHS Records Management Code, which is a published external standard. Non-clinical data (login records, ID images) is retained for shorter periods justified above. The retention table at section 2.10 has been challenged for proportionality and reduced from the launch proposal.</w:t>
      </w:r>
    </w:p>
    <w:p>
      <w:pPr>
        <w:pStyle w:val="Heading2"/>
        <w:spacing w:after="140" w:before="280"/>
      </w:pPr>
      <w:r>
        <w:t xml:space="preserve">4.6 Information to data subjects (Articles 13–14)</w:t>
      </w:r>
    </w:p>
    <w:p>
      <w:pPr>
        <w:spacing w:after="120" w:line="300"/>
      </w:pPr>
      <w:r>
        <w:t xml:space="preserve">Patients are informed via:</w:t>
      </w:r>
    </w:p>
    <w:p>
      <w:pPr>
        <w:pStyle w:val="ListParagraph"/>
        <w:numPr>
          <w:ilvl w:val="0"/>
          <w:numId w:val="2"/>
        </w:numPr>
        <w:spacing w:after="80" w:line="300"/>
      </w:pPr>
      <w:r>
        <w:t xml:space="preserve">A layered privacy notice in the app and on the website, structured per ICO 'right to be informed' guidance.</w:t>
      </w:r>
    </w:p>
    <w:p>
      <w:pPr>
        <w:pStyle w:val="ListParagraph"/>
        <w:numPr>
          <w:ilvl w:val="0"/>
          <w:numId w:val="2"/>
        </w:numPr>
        <w:spacing w:after="80" w:line="300"/>
      </w:pPr>
      <w:r>
        <w:t xml:space="preserve">Just-in-time consent prompts at the point of recording opt-in and GP-sharing opt-in.</w:t>
      </w:r>
    </w:p>
    <w:p>
      <w:pPr>
        <w:pStyle w:val="ListParagraph"/>
        <w:numPr>
          <w:ilvl w:val="0"/>
          <w:numId w:val="2"/>
        </w:numPr>
        <w:spacing w:after="80" w:line="300"/>
      </w:pPr>
      <w:r>
        <w:t xml:space="preserve">A plain-English explainer of the AI summary feature, on the pre-consultation screen.</w:t>
      </w:r>
    </w:p>
    <w:p>
      <w:pPr>
        <w:pStyle w:val="Heading2"/>
        <w:spacing w:after="140" w:before="280"/>
      </w:pPr>
      <w:r>
        <w:t xml:space="preserve">4.7 Data-subject rights (Articles 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Right</w:t>
            </w:r>
          </w:p>
        </w:tc>
        <w:tc>
          <w:tcPr>
            <w:tcW w:type="dxa" w:w="75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How HealthBridge supports it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Access (Art. 15)</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In-app 'Download my data' tool produces a structured export within 30 days. Manual requests handled by the Privacy Office.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Rectification (Art. 16)</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In-app 'Report a record issue' workflow; clinician review where the data is clinical.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Erasure (Art. 17)</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Non-clinical data deleted on request. Clinical records exempt — retained under Article 17(3)(b) and (c) (legal obligation; public-interest health).</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Restriction (Art. 18)</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Available in standard cases; restricted use marker applied in the EHR.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Portability (Art. 20)</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Applies to the GP-sharing strand (consent-based). Provided as machine-readable export (FHIR R4 JSON).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Object (Art. 21)</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Applies to legitimate-interest processing (audit, fraud prevention). Each case reviewed on its facts.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Automated decision-making (Art. 22)</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Not applicable. The AI summary is a tool to support the clinician; the clinician makes all clinical decisions. This is documented in the privacy notice.</w:t>
            </w:r>
          </w:p>
        </w:tc>
      </w:tr>
    </w:tbl>
    <w:p>
      <w:pPr>
        <w:pStyle w:val="Heading2"/>
        <w:spacing w:after="140" w:before="280"/>
      </w:pPr>
      <w:r>
        <w:t xml:space="preserve">4.8 Processor compliance (Article 28)</w:t>
      </w:r>
    </w:p>
    <w:p>
      <w:pPr>
        <w:spacing w:after="120" w:line="300"/>
      </w:pPr>
      <w:r>
        <w:t xml:space="preserve">All processors named in section 2.8 are subject to a signed Article 28 Data Processing Agreement. Each DPA has been reviewed against the Article 28(3) checklist (see project 02 deliverable). Key residual issues:</w:t>
      </w:r>
    </w:p>
    <w:p>
      <w:pPr>
        <w:pStyle w:val="ListParagraph"/>
        <w:numPr>
          <w:ilvl w:val="0"/>
          <w:numId w:val="2"/>
        </w:numPr>
        <w:spacing w:after="80" w:line="300"/>
      </w:pPr>
      <w:r>
        <w:t xml:space="preserve">Zoom sub-processor list contains a sub-processor that will become EU-based in Q3 2026 — change-management notice received and accepted.</w:t>
      </w:r>
    </w:p>
    <w:p>
      <w:pPr>
        <w:pStyle w:val="ListParagraph"/>
        <w:numPr>
          <w:ilvl w:val="0"/>
          <w:numId w:val="2"/>
        </w:numPr>
        <w:spacing w:after="80" w:line="300"/>
      </w:pPr>
      <w:r>
        <w:t xml:space="preserve">Twilio audit-rights clause is restricted to ISO 27001 / SOC 2 reports only; this has been accepted as proportionate given the limited data category (OTP only).</w:t>
      </w:r>
    </w:p>
    <w:p>
      <w:pPr>
        <w:pStyle w:val="Heading1"/>
        <w:spacing w:after="200" w:before="360"/>
      </w:pPr>
      <w:r>
        <w:t xml:space="preserve">5. Risk Identification and Assessment</w:t>
      </w:r>
    </w:p>
    <w:p>
      <w:pPr>
        <w:pStyle w:val="Heading2"/>
        <w:spacing w:after="140" w:before="280"/>
      </w:pPr>
      <w:r>
        <w:t xml:space="preserve">5.1 Methodology</w:t>
      </w:r>
    </w:p>
    <w:p>
      <w:pPr>
        <w:spacing w:after="120" w:line="300"/>
      </w:pPr>
      <w:r>
        <w:t xml:space="preserve">Each risk has been assessed for inherent likelihood and inherent severity on a 1–4 scale, before mitigations. The score (Likelihood × Severity) determines the inherent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c>
          <w:tcPr>
            <w:tcW w:type="dxa" w:w="15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Score</w:t>
            </w:r>
          </w:p>
        </w:tc>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Rating</w:t>
            </w:r>
          </w:p>
        </w:tc>
        <w:tc>
          <w:tcPr>
            <w:tcW w:type="dxa" w:w="60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Treatment</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1–3</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Accept; monitor at standard cadence.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4–7</w:t>
            </w:r>
          </w:p>
        </w:tc>
        <w:tc>
          <w:tcPr>
            <w:tcW w:type="dxa" w:w="1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Mitigate to bring residual to Low where reasonably practicable; review annually.</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8–12</w:t>
            </w:r>
          </w:p>
        </w:tc>
        <w:tc>
          <w:tcPr>
            <w:tcW w:type="dxa" w:w="18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Mitigate; do not launch with this rating residual.</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13–16</w:t>
            </w:r>
          </w:p>
        </w:tc>
        <w:tc>
          <w:tcPr>
            <w:tcW w:type="dxa" w:w="18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Very High</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Do not launch; if residual remains, consult ICO under Article 36 before proceeding.</w:t>
            </w:r>
          </w:p>
        </w:tc>
      </w:tr>
    </w:tbl>
    <w:p>
      <w:pPr>
        <w:spacing w:after="120" w:line="300"/>
      </w:pPr>
      <w:r>
        <w:t xml:space="preserve">Severity considers the foreseeable impact on the rights and freedoms of the data subjects — physical harm, financial harm, reputational harm, discrimination, identity theft, and loss of control of sensitive information. Severity is anchored to the most vulnerable reasonable user, in line with ICO guidance.</w:t>
      </w:r>
    </w:p>
    <w:p>
      <w:pPr>
        <w:pStyle w:val="Heading2"/>
        <w:spacing w:after="140" w:before="280"/>
      </w:pPr>
      <w:r>
        <w:t xml:space="preserve">5.2 Risk summary</w:t>
      </w:r>
    </w:p>
    <w:p>
      <w:pPr>
        <w:spacing w:after="120" w:line="300"/>
      </w:pPr>
      <w:r>
        <w:t xml:space="preserve">The full register is in the accompanying Excel workbook (DPIA-Risk-Register-HealthBridge.xlsx). The headline risks and their inherent scores are summarised below; mitigations and residual scores are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600"/>
        <w:gridCol w:w="600"/>
        <w:gridCol w:w="800"/>
        <w:gridCol w:w="1000"/>
      </w:tblGrid>
      <w:tr>
        <w:tc>
          <w:tcPr>
            <w:tcW w:type="dxa" w:w="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ID</w:t>
            </w:r>
          </w:p>
        </w:tc>
        <w:tc>
          <w:tcPr>
            <w:tcW w:type="dxa" w:w="55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Risk</w:t>
            </w:r>
          </w:p>
        </w:tc>
        <w:tc>
          <w:tcPr>
            <w:tcW w:type="dxa" w:w="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L</w:t>
            </w:r>
          </w:p>
        </w:tc>
        <w:tc>
          <w:tcPr>
            <w:tcW w:type="dxa" w:w="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w:t>
            </w:r>
          </w:p>
        </w:tc>
        <w:tc>
          <w:tcPr>
            <w:tcW w:type="dxa" w:w="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Score</w:t>
            </w:r>
          </w:p>
        </w:tc>
        <w:tc>
          <w:tcPr>
            <w:tcW w:type="dxa" w:w="10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Rating</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R-01</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Unauthorised access to consultation recordings (insider misuse or processor breach at Zoom).</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R-02</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Patient identity mis-verification — wrong patient joins the consultation.</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R-03</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Third party overhears the consultation at the patient's location.</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R-04</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Network interception of unencrypted traffic on an insecure Wi-Fi.</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R-05</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AI summary contains an error that the clinician fails to catch (accuracy / clinical safety).</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12</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R-06</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Recording made without an effective explicit consent (e.g., dark-pattern join screen).</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R-07</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 transfer — government access request to Zoom or Twilio under FISA 702 / EO 12333.</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R-08</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Sub-processor sprawl at Zoom adds a sub-processor in a third country without effective notice.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R-09</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Excessive retention — recordings retained beyond 30 days due to backup misconfiguration.</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R-10</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Account takeover via SMS OTP interception (SIM swap).</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R-11</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Clinician uses a personal device (BYOD) without HealthBridge controls.</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w:t>
            </w:r>
          </w:p>
        </w:tc>
        <w:tc>
          <w:tcPr>
            <w:tcW w:type="dxa" w:w="10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High</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R-12</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Breach detection delay — incident at processor not flagged to HealthBridge within Article 33 timeframe.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R-13</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Child patient processed without effective parental consent and age verification.</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R-14</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Patient unable to exercise rights effectively (e.g., no clear erasure pathway for non-clinical data).</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w:t>
            </w:r>
          </w:p>
        </w:tc>
      </w:tr>
    </w:tbl>
    <w:p>
      <w:pPr>
        <w:pStyle w:val="Heading1"/>
        <w:spacing w:after="200" w:before="360"/>
      </w:pPr>
      <w:r>
        <w:t xml:space="preserve">6. Mitigations and Residual Risk</w:t>
      </w:r>
    </w:p>
    <w:p>
      <w:pPr>
        <w:spacing w:after="120" w:line="300"/>
      </w:pPr>
      <w:r>
        <w:t xml:space="preserve">For each High and Medium risk above, the mitigations below have been agreed. Article 36(1) UK GDPR requires prior consultation with the ICO where a DPIA indicates that processing would result in a high risk in the absence of measures taken by the controller to mitigate that risk. After applying the mitigations below, no risk retains a high residual rating; Article 36 prior consultation is therefore not required.</w:t>
      </w:r>
    </w:p>
    <w:p>
      <w:pPr>
        <w:pStyle w:val="Heading2"/>
        <w:spacing w:after="140" w:before="280"/>
      </w:pPr>
      <w:r>
        <w:t xml:space="preserve">6.1 Risk-by-risk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ID</w:t>
            </w:r>
          </w:p>
        </w:tc>
        <w:tc>
          <w:tcPr>
            <w:tcW w:type="dxa" w:w="67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Mitigation</w:t>
            </w:r>
          </w:p>
        </w:tc>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Residual</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R-01</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Recording off by default; opt-in per session; AES-256 encryption at rest; access strictly role-based; Zoom Healthcare sub-processor list reviewed; 30-day auto-delete; SIEM alerting on bulk-access events.</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(4)</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R-02</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Multi-factor identity check at session start: clinician confirms name + DOB + first line of address against the EHR before any clinical content is discussed. Verbal challenge documented in the consultation note.</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(3)</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R-03</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Pre-consultation patient prompt: 'find a private space'. Clinician asks at start whether the patient is in a private setting; option to reschedule without charge if not.</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(3)</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R-04</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Zoom for Healthcare uses TLS 1.2+ in transit and AES-256 at rest. App refuses to start a session over unencrypted (open) Wi-Fi where detectable.</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(2)</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AI summary is clearly marked as 'AI-drafted — clinician to verify'. Clinician must positively confirm before saving. Sample-audit of 5% of summaries by clinical safety lead monthly. Hazard log entry under DCB0129/0160.</w:t>
            </w:r>
          </w:p>
        </w:tc>
        <w:tc>
          <w:tcPr>
            <w:tcW w:type="dxa" w:w="1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 (6)</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R-06</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Recording opt-in checkbox is unticked by default; equal prominence with 'Continue without recording'; one-tap revocation during the session; recording indicator banner persistent throughout.</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(4)</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R-07</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Signed UK Addendum + Schrems II TIA. Supplementary measures: encryption keys held by HealthBridge for stored data; transparency report obligation in DPA; documented procedure for handling government access requests.</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(4)</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R-08</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Contractual requirement of 30 days' prior notice for any sub-processor addition; right to object; quarterly review of the sub-processor list; sub-processor list republished in the privacy notice.</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(4)</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R-09</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Backup retention policy aligned to recording retention (30 days). Quarterly retention audit. Automated delete jobs verified weekly.</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(3)</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R-10</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Migrate primary authentication to TOTP / authenticator app within 12 months. SMS OTP retained as fallback only. Suspicious-login telemetry alerts.</w:t>
            </w:r>
          </w:p>
        </w:tc>
        <w:tc>
          <w:tcPr>
            <w:tcW w:type="dxa" w:w="1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Medium (6)</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R-11</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Clinicians issued with managed devices; BYOD prohibited for consultations. EMM enforces full-disk encryption, MFA, OS minimum versions. Acceptable-use policy signed.</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(3)</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R-12</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DPA requires processor notification 'without undue delay' and no later than 24 hours of awareness. Tabletop test conducted (see project 08).</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(4)</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R-13</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Account creation gated on adult-age declaration; for under-18s, parent/guardian account flow with parent ID verification and explicit consent confirmation; age re-verified at 18. Service designed to the ICO Age Appropriate Design Code (Children's Code) — default high-privacy settings, plain-English notices, no nudge techniques in the account flow.</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(3)</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R-14</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Rights pathway documented in the privacy notice and in-app; DSR workflow tested (see project 06). One-month deadline tracked in DSR log.</w:t>
            </w:r>
          </w:p>
        </w:tc>
        <w:tc>
          <w:tcPr>
            <w:tcW w:type="dxa" w:w="18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Low (2)</w:t>
            </w:r>
          </w:p>
        </w:tc>
      </w:tr>
    </w:tbl>
    <w:p>
      <w:pPr>
        <w:pStyle w:val="Heading2"/>
        <w:spacing w:after="140" w:before="280"/>
      </w:pPr>
      <w:r>
        <w:t xml:space="preserve">6.2 Residual high risks</w:t>
      </w:r>
    </w:p>
    <w:p>
      <w:pPr>
        <w:spacing w:after="120" w:line="300"/>
      </w:pPr>
      <w:r>
        <w:t xml:space="preserve">None. R-05 (AI summary accuracy) and R-10 (SMS OTP) remain at Medium and are subject to active risk acceptance by the DPO and the Clinical Safety Officer. Both are scheduled for re-assessment at the next service review.</w:t>
      </w:r>
    </w:p>
    <w:p>
      <w:pPr>
        <w:pStyle w:val="Heading1"/>
        <w:spacing w:after="200" w:before="360"/>
      </w:pPr>
      <w:r>
        <w:t xml:space="preserve">7. DPO Advice and Sign-off</w:t>
      </w:r>
    </w:p>
    <w:p>
      <w:pPr>
        <w:pStyle w:val="Heading2"/>
        <w:spacing w:after="140" w:before="280"/>
      </w:pPr>
      <w:r>
        <w:t xml:space="preserve">7.1 DPO advice</w:t>
      </w:r>
    </w:p>
    <w:p>
      <w:pPr>
        <w:spacing w:after="120" w:line="300"/>
      </w:pPr>
      <w:r>
        <w:t xml:space="preserve">[Placeholder — DPO to insert.] On the basis of this assessment, the proposed processing is lawful under the bases identified, proportionate to the purposes, and accompanied by mitigations that bring residual risk within the organisation's risk appetite. ICO prior consultation under Article 36 is not required.</w:t>
      </w:r>
    </w:p>
    <w:p>
      <w:pPr>
        <w:pStyle w:val="Heading2"/>
        <w:spacing w:after="140" w:before="280"/>
      </w:pPr>
      <w:r>
        <w:t xml:space="preserve">7.2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80"/>
        <w:gridCol w:w="1880"/>
      </w:tblGrid>
      <w:tr>
        <w:tc>
          <w:tcPr>
            <w:tcW w:type="dxa" w:w="2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2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Name</w:t>
            </w:r>
          </w:p>
        </w:tc>
        <w:tc>
          <w:tcPr>
            <w:tcW w:type="dxa" w:w="22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Signature</w:t>
            </w:r>
          </w:p>
        </w:tc>
        <w:tc>
          <w:tcPr>
            <w:tcW w:type="dxa" w:w="188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Date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Data Protection Officer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1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Chief Medical Officer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1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Chief Information Security Officer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1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Chief Executive (or delegate)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1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bl>
    <w:p>
      <w:pPr>
        <w:pStyle w:val="Heading2"/>
        <w:spacing w:after="140" w:before="280"/>
      </w:pPr>
      <w:r>
        <w:t xml:space="preserve">7.3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200"/>
        <w:gridCol w:w="1800"/>
      </w:tblGrid>
      <w:tr>
        <w:tc>
          <w:tcPr>
            <w:tcW w:type="dxa" w:w="6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w:t>
            </w:r>
          </w:p>
        </w:tc>
        <w:tc>
          <w:tcPr>
            <w:tcW w:type="dxa" w:w="47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Action</w:t>
            </w:r>
          </w:p>
        </w:tc>
        <w:tc>
          <w:tcPr>
            <w:tcW w:type="dxa" w:w="22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Owner</w:t>
            </w:r>
          </w:p>
        </w:tc>
        <w:tc>
          <w:tcPr>
            <w:tcW w:type="dxa" w:w="18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Due</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Sign and file UK Addendum + TIA for Zoom and Twilio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DPO + Procurement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Pre-launch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Deploy authenticator-app option; tag SMS OTP as legacy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CISO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+12 months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Implement sample-audit of 5% of AI summaries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Clinical Safety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Pre-launch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Publish sub-processor list in privacy notice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Privacy Office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Pre-launch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5</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Run incident-response tabletop (see project 08)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CISO + DPO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+30 days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Schedule next DPIA review</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22 May 2027</w:t>
            </w:r>
          </w:p>
        </w:tc>
      </w:tr>
    </w:tbl>
    <w:p>
      <w:pPr>
        <w:pStyle w:val="Heading2"/>
        <w:spacing w:after="140" w:before="280"/>
      </w:pPr>
      <w:r>
        <w:t xml:space="preserve">7.4 Review triggers</w:t>
      </w:r>
    </w:p>
    <w:p>
      <w:pPr>
        <w:spacing w:after="120" w:line="300"/>
      </w:pPr>
      <w:r>
        <w:t xml:space="preserve">This DPIA will be reviewed before the scheduled date if any of the following occur: a new processor is engaged for the service; a new sub-processor is added that processes special-category data; the AI summary functionality is changed materially; a notifiable personal-data breach affects the service; the ICO issues new guidance affecting telehealth processing.</w:t>
      </w:r>
    </w:p>
    <w:p>
      <w:r>
        <w:br w:type="page"/>
      </w:r>
    </w:p>
    <w:p>
      <w:pPr>
        <w:pStyle w:val="Heading1"/>
        <w:spacing w:after="200" w:before="360"/>
      </w:pPr>
      <w:r>
        <w:t xml:space="preserve">Annex A — Systems and Processors at a Glance</w:t>
      </w:r>
    </w:p>
    <w:p>
      <w:pPr>
        <w:spacing w:after="120" w:line="300"/>
      </w:pPr>
      <w:r>
        <w:t xml:space="preserve">See section 2.8 for the full table. The Schrems II TIAs for Zoom and Twilio are filed separately as part of project 03.</w:t>
      </w:r>
    </w:p>
    <w:p>
      <w:pPr>
        <w:pStyle w:val="Heading1"/>
        <w:spacing w:after="200" w:before="360"/>
      </w:pPr>
      <w:r>
        <w:t xml:space="preserve">Annex B — Data Categories and Lawful-Basis Mapping</w:t>
      </w:r>
    </w:p>
    <w:p>
      <w:pPr>
        <w:spacing w:after="120" w:line="300"/>
      </w:pPr>
      <w:r>
        <w:t xml:space="preserve">See the HealthBridge Data Inventory (project 01 deliverable) for the 23-record register. This DPIA inherits the inventory rows that relate to the telehealth consultation service (rows 4–11, 14–17, 22).</w:t>
      </w:r>
    </w:p>
    <w:p>
      <w:pPr>
        <w:pStyle w:val="Heading1"/>
        <w:spacing w:after="200" w:before="360"/>
      </w:pPr>
      <w:r>
        <w:t xml:space="preserve">Annex C — Glossary</w:t>
      </w:r>
    </w:p>
    <w:p>
      <w:pPr>
        <w:pStyle w:val="ListParagraph"/>
        <w:numPr>
          <w:ilvl w:val="0"/>
          <w:numId w:val="2"/>
        </w:numPr>
        <w:spacing w:after="80" w:line="300"/>
      </w:pPr>
      <w:r>
        <w:rPr>
          <w:b/>
          <w:bCs/>
        </w:rPr>
        <w:t xml:space="preserve">BAA / DPA: </w:t>
      </w:r>
      <w:r>
        <w:t xml:space="preserve">Business Associate Agreement (US health-data term) / Data Processing Agreement (GDPR term).</w:t>
      </w:r>
    </w:p>
    <w:p>
      <w:pPr>
        <w:pStyle w:val="ListParagraph"/>
        <w:numPr>
          <w:ilvl w:val="0"/>
          <w:numId w:val="2"/>
        </w:numPr>
        <w:spacing w:after="80" w:line="300"/>
      </w:pPr>
      <w:r>
        <w:rPr>
          <w:b/>
          <w:bCs/>
        </w:rPr>
        <w:t xml:space="preserve">DCB0129 / DCB0160: </w:t>
      </w:r>
      <w:r>
        <w:t xml:space="preserve">NHS Digital clinical-risk-management standards for manufacturers and deploying organisations.</w:t>
      </w:r>
    </w:p>
    <w:p>
      <w:pPr>
        <w:pStyle w:val="ListParagraph"/>
        <w:numPr>
          <w:ilvl w:val="0"/>
          <w:numId w:val="2"/>
        </w:numPr>
        <w:spacing w:after="80" w:line="300"/>
      </w:pPr>
      <w:r>
        <w:rPr>
          <w:b/>
          <w:bCs/>
        </w:rPr>
        <w:t xml:space="preserve">EHR: </w:t>
      </w:r>
      <w:r>
        <w:t xml:space="preserve">Electronic Health Record.</w:t>
      </w:r>
    </w:p>
    <w:p>
      <w:pPr>
        <w:pStyle w:val="ListParagraph"/>
        <w:numPr>
          <w:ilvl w:val="0"/>
          <w:numId w:val="2"/>
        </w:numPr>
        <w:spacing w:after="80" w:line="300"/>
      </w:pPr>
      <w:r>
        <w:rPr>
          <w:b/>
          <w:bCs/>
        </w:rPr>
        <w:t xml:space="preserve">FHIR: </w:t>
      </w:r>
      <w:r>
        <w:t xml:space="preserve">Fast Healthcare Interoperability Resources — health-data exchange standard.</w:t>
      </w:r>
    </w:p>
    <w:p>
      <w:pPr>
        <w:pStyle w:val="ListParagraph"/>
        <w:numPr>
          <w:ilvl w:val="0"/>
          <w:numId w:val="2"/>
        </w:numPr>
        <w:spacing w:after="80" w:line="300"/>
      </w:pPr>
      <w:r>
        <w:rPr>
          <w:b/>
          <w:bCs/>
        </w:rPr>
        <w:t xml:space="preserve">GMC: </w:t>
      </w:r>
      <w:r>
        <w:t xml:space="preserve">General Medical Council — UK clinician regulator.</w:t>
      </w:r>
    </w:p>
    <w:p>
      <w:pPr>
        <w:pStyle w:val="ListParagraph"/>
        <w:numPr>
          <w:ilvl w:val="0"/>
          <w:numId w:val="2"/>
        </w:numPr>
        <w:spacing w:after="80" w:line="300"/>
      </w:pPr>
      <w:r>
        <w:rPr>
          <w:b/>
          <w:bCs/>
        </w:rPr>
        <w:t xml:space="preserve">GP Connect: </w:t>
      </w:r>
      <w:r>
        <w:t xml:space="preserve">NHS Digital API enabling sharing of GP-held records.</w:t>
      </w:r>
    </w:p>
    <w:p>
      <w:pPr>
        <w:pStyle w:val="ListParagraph"/>
        <w:numPr>
          <w:ilvl w:val="0"/>
          <w:numId w:val="2"/>
        </w:numPr>
        <w:spacing w:after="80" w:line="300"/>
      </w:pPr>
      <w:r>
        <w:rPr>
          <w:b/>
          <w:bCs/>
        </w:rPr>
        <w:t xml:space="preserve">OTP: </w:t>
      </w:r>
      <w:r>
        <w:t xml:space="preserve">One-Time Passcode.</w:t>
      </w:r>
    </w:p>
    <w:p>
      <w:pPr>
        <w:pStyle w:val="ListParagraph"/>
        <w:numPr>
          <w:ilvl w:val="0"/>
          <w:numId w:val="2"/>
        </w:numPr>
        <w:spacing w:after="80" w:line="300"/>
      </w:pPr>
      <w:r>
        <w:rPr>
          <w:b/>
          <w:bCs/>
        </w:rPr>
        <w:t xml:space="preserve">PECR: </w:t>
      </w:r>
      <w:r>
        <w:t xml:space="preserve">Privacy and Electronic Communications Regulations 2003.</w:t>
      </w:r>
    </w:p>
    <w:p>
      <w:pPr>
        <w:pStyle w:val="ListParagraph"/>
        <w:numPr>
          <w:ilvl w:val="0"/>
          <w:numId w:val="2"/>
        </w:numPr>
        <w:spacing w:after="80" w:line="300"/>
      </w:pPr>
      <w:r>
        <w:rPr>
          <w:b/>
          <w:bCs/>
        </w:rPr>
        <w:t xml:space="preserve">ROPA: </w:t>
      </w:r>
      <w:r>
        <w:t xml:space="preserve">Record of Processing Activities (Article 30 UK GDPR).</w:t>
      </w:r>
    </w:p>
    <w:p>
      <w:pPr>
        <w:pStyle w:val="ListParagraph"/>
        <w:numPr>
          <w:ilvl w:val="0"/>
          <w:numId w:val="2"/>
        </w:numPr>
        <w:spacing w:after="80" w:line="300"/>
      </w:pPr>
      <w:r>
        <w:rPr>
          <w:b/>
          <w:bCs/>
        </w:rPr>
        <w:t xml:space="preserve">SCC: </w:t>
      </w:r>
      <w:r>
        <w:t xml:space="preserve">Standard Contractual Clauses (EU); UK uses the IDTA or the UK Addendum.</w:t>
      </w:r>
    </w:p>
    <w:p>
      <w:pPr>
        <w:pStyle w:val="ListParagraph"/>
        <w:numPr>
          <w:ilvl w:val="0"/>
          <w:numId w:val="2"/>
        </w:numPr>
        <w:spacing w:after="80" w:line="300"/>
      </w:pPr>
      <w:r>
        <w:rPr>
          <w:b/>
          <w:bCs/>
        </w:rPr>
        <w:t xml:space="preserve">TIA: </w:t>
      </w:r>
      <w:r>
        <w:t xml:space="preserve">Transfer Impact Assessment (per EDPB Recommendations 01/2020).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HealthBridge Solutions Ltd. (fictional) · 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r>
      <w:rPr>
        <w:color w:val="4A5568"/>
        <w:sz w:val="16"/>
        <w:szCs w:val="16"/>
      </w:rPr>
      <w:t xml:space="preserve"> · Portfolio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A5568"/>
        <w:sz w:val="16"/>
        <w:szCs w:val="16"/>
      </w:rPr>
      <w:t xml:space="preserve">DPIA — Telehealth Video Consultation Service · DPIA-2026-01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HealthBridge Telehealth DPIA</dc:title>
  <dc:creator>Deepak N</dc:creator>
  <dc:description>Article 35 UK GDPR DPIA — fictional portfolio piece</dc:description>
  <cp:lastModifiedBy>Un-named</cp:lastModifiedBy>
  <cp:revision>1</cp:revision>
  <dcterms:created xsi:type="dcterms:W3CDTF">2026-05-22T10:59:35.989Z</dcterms:created>
  <dcterms:modified xsi:type="dcterms:W3CDTF">2026-05-22T10:59:36.007Z</dcterms:modified>
</cp:coreProperties>
</file>

<file path=docProps/custom.xml><?xml version="1.0" encoding="utf-8"?>
<Properties xmlns="http://schemas.openxmlformats.org/officeDocument/2006/custom-properties" xmlns:vt="http://schemas.openxmlformats.org/officeDocument/2006/docPropsVTypes"/>
</file>