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Characterizing Autoimmune hepatitis (AIH) using complementary single-nuclei and spatial transcriptomics techniques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Contributors</w:t>
      </w:r>
      <w:r w:rsidDel="00000000" w:rsidR="00000000" w:rsidRPr="00000000">
        <w:rPr>
          <w:rFonts w:ascii="Times New Roman" w:cs="Times New Roman" w:eastAsia="Times New Roman" w:hAnsi="Times New Roman"/>
          <w:rtl w:val="0"/>
        </w:rPr>
        <w:t xml:space="preserve">: Nikita Sajai, Abhishek Murti, Cindy Ament, Michelle Tana, Bruce Wang</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Background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Autoimmune hepatitis (AIH) is a chronic liver disease characterized by immune cells attacking hepatocytes, leading to chronic inflammation, cirrhosis, and death if untreated. AIH incidence appears to be on the rise, but much remains unknown about the biological basis of AIH, including the autoantigen that leads to hepatocyte damage, the immune cell profile, and which molecular signaling pathways are active in the disease.  Here, we use the Prospective Observational Study to Understand Liver Disease (POSULD), a well-characterized patient cohort with integrated clinical and molecular data, to investigate disease mechanisms in AIH using a combination of single-nuclei RNA sequencing and spatial transcriptomics. We performed single-nuclei RNA sequencing on liver tissues from 7 patients with AIH, and we included publicly available snRNA-seq data from 3 healthy controls. Single-nuclei analysis revealed an increase in T lymphocytes in AIH and upregulation of the potential autoantigen AFF3 in periportal hepatocytes, implicating the periportal region in disease pathogenesis.  Next, we applied high-resolution spatial transcriptomics using the 10x Genomics Xenium platform to characterize disease-related changes in situ, using a custom 480-gene human liver panel informed by our single-cell and bulk sequencing data for AIH. We then generated liver tissue microarrays using liver biopsy samples from 54 patients with AIH, control patients with metabolic-associated steatotic liver disease (MASLD), and healthy human controls. This approach enabled in situ mapping of liver cell types and spatially informed identification of lobular regions (periportal, pericentral, and portal) using connectivity-based analysis. Unsupervised clustering based on spatial cell-type composition and regional gene expression profiles identified a subset of AIH patients characterized by shrunken periportal regions and expanded portal regions enriched for myeloid and lymphocyte populations. These findings provide insight into the spatially organized immune-hepatocyte interactions that characterize AIH and highlight candidate pathways for targeted therapeutic intervention.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was funded by UCSF ImmunoX pilot study, UCSF Department of Medicine Cohort grant, UCSF Liver Center (P30DK026743), and Chan Zuckerberg Initiative.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