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8A916" w14:textId="315B6F09" w:rsidR="0050648D" w:rsidRDefault="00DA32CF" w:rsidP="0050648D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  <w:r w:rsidRPr="00DA32CF">
        <w:rPr>
          <w:b/>
          <w:bCs/>
          <w:sz w:val="36"/>
          <w:szCs w:val="36"/>
          <w:u w:val="single"/>
        </w:rPr>
        <w:t>Key Insights from the Sales Data Analysis Dashboard</w:t>
      </w:r>
    </w:p>
    <w:p w14:paraId="18F0CEF0" w14:textId="1BBF6F08" w:rsidR="0050648D" w:rsidRPr="0050648D" w:rsidRDefault="0050648D" w:rsidP="0050648D">
      <w:pPr>
        <w:spacing w:line="360" w:lineRule="auto"/>
        <w:rPr>
          <w:b/>
          <w:bCs/>
        </w:rPr>
      </w:pPr>
      <w:r w:rsidRPr="0050648D">
        <w:rPr>
          <w:b/>
          <w:bCs/>
        </w:rPr>
        <w:t>Overall Sales Performance</w:t>
      </w:r>
    </w:p>
    <w:p w14:paraId="693F7E90" w14:textId="77777777" w:rsidR="0050648D" w:rsidRPr="0050648D" w:rsidRDefault="0050648D" w:rsidP="0050648D">
      <w:pPr>
        <w:numPr>
          <w:ilvl w:val="0"/>
          <w:numId w:val="9"/>
        </w:numPr>
      </w:pPr>
      <w:r w:rsidRPr="0050648D">
        <w:rPr>
          <w:b/>
          <w:bCs/>
        </w:rPr>
        <w:t>Total Sales Growth</w:t>
      </w:r>
      <w:r w:rsidRPr="0050648D">
        <w:t>: Sales data spans 2014-2017, showing consistent growth in customer engagement, with unique customer counts rising from 595 in 2014 to 693 in 2017 (a 16.5% increase). This indicates expanding market reach over the years.</w:t>
      </w:r>
    </w:p>
    <w:p w14:paraId="43E74F0D" w14:textId="77777777" w:rsidR="0050648D" w:rsidRPr="0050648D" w:rsidRDefault="0050648D" w:rsidP="0050648D">
      <w:pPr>
        <w:numPr>
          <w:ilvl w:val="0"/>
          <w:numId w:val="9"/>
        </w:numPr>
      </w:pPr>
      <w:r w:rsidRPr="0050648D">
        <w:rPr>
          <w:b/>
          <w:bCs/>
        </w:rPr>
        <w:t>Monthly Sales Patterns</w:t>
      </w:r>
      <w:r w:rsidRPr="0050648D">
        <w:t>: Sales peak in the later months of the year, with September ($307,650), November ($352,461), and December ($325,294) accounting for over 51.6% of total sales ($2,296,920). This suggests seasonal trends, possibly driven by holiday shopping or year-end budgets, recommending targeted promotions in Q3-Q4.</w:t>
      </w:r>
    </w:p>
    <w:p w14:paraId="1BD07F6A" w14:textId="77777777" w:rsidR="0050648D" w:rsidRPr="0050648D" w:rsidRDefault="0050648D" w:rsidP="0050648D">
      <w:pPr>
        <w:numPr>
          <w:ilvl w:val="0"/>
          <w:numId w:val="9"/>
        </w:numPr>
      </w:pPr>
      <w:r w:rsidRPr="0050648D">
        <w:rPr>
          <w:b/>
          <w:bCs/>
        </w:rPr>
        <w:t>Annual Customer Trends</w:t>
      </w:r>
      <w:r w:rsidRPr="0050648D">
        <w:t>: Customer acquisition grew steadily, with 2016 seeing the highest unique customers at 637, correlating with increased sales volumes in high-profit categories.</w:t>
      </w:r>
    </w:p>
    <w:p w14:paraId="28B4C93F" w14:textId="77777777" w:rsidR="0050648D" w:rsidRPr="0050648D" w:rsidRDefault="0050648D" w:rsidP="0050648D">
      <w:pPr>
        <w:rPr>
          <w:b/>
          <w:bCs/>
        </w:rPr>
      </w:pPr>
      <w:r w:rsidRPr="0050648D">
        <w:rPr>
          <w:b/>
          <w:bCs/>
        </w:rPr>
        <w:t>Category and Product Insights</w:t>
      </w:r>
    </w:p>
    <w:p w14:paraId="3A993128" w14:textId="77777777" w:rsidR="0050648D" w:rsidRPr="0050648D" w:rsidRDefault="0050648D" w:rsidP="0050648D">
      <w:pPr>
        <w:numPr>
          <w:ilvl w:val="0"/>
          <w:numId w:val="10"/>
        </w:numPr>
      </w:pPr>
      <w:r w:rsidRPr="0050648D">
        <w:rPr>
          <w:b/>
          <w:bCs/>
        </w:rPr>
        <w:t>Top Revenue Generators</w:t>
      </w:r>
      <w:r w:rsidRPr="0050648D">
        <w:t>: The Technology category leads overall, with Phones generating the highest sales at $330,007, followed by Chairs ($328,168) in Furniture and Storage ($223,844) in Office Supplies. This highlights the dominance of high-value items like electronics and office essentials.</w:t>
      </w:r>
    </w:p>
    <w:p w14:paraId="21FF9902" w14:textId="77777777" w:rsidR="0050648D" w:rsidRPr="0050648D" w:rsidRDefault="0050648D" w:rsidP="0050648D">
      <w:pPr>
        <w:numPr>
          <w:ilvl w:val="0"/>
          <w:numId w:val="10"/>
        </w:numPr>
      </w:pPr>
      <w:r w:rsidRPr="0050648D">
        <w:rPr>
          <w:b/>
          <w:bCs/>
        </w:rPr>
        <w:t>Profit Trends by Category</w:t>
      </w:r>
      <w:r w:rsidRPr="0050648D">
        <w:t>: Technology showed the strongest profit growth, rising from $21,493 in 2014 to $50,685 in 2017 (a 136% increase), while Furniture profits declined from $5,470 to $3,018 annually. Office Supplies provided stable profits, averaging ~$30,623 per year, suggesting a focus on Technology for margin optimization.</w:t>
      </w:r>
    </w:p>
    <w:p w14:paraId="659DB485" w14:textId="77777777" w:rsidR="0050648D" w:rsidRPr="0050648D" w:rsidRDefault="0050648D" w:rsidP="0050648D">
      <w:pPr>
        <w:numPr>
          <w:ilvl w:val="0"/>
          <w:numId w:val="10"/>
        </w:numPr>
      </w:pPr>
      <w:r w:rsidRPr="0050648D">
        <w:rPr>
          <w:b/>
          <w:bCs/>
        </w:rPr>
        <w:t>Low-Performing Categories</w:t>
      </w:r>
      <w:r w:rsidRPr="0050648D">
        <w:t>: Fasteners and Labels contributed the least to sales ($3,024 and $12,486 respectively), indicating potential areas for inventory reduction or bundling with high-sellers like Binders ($203,413 in sales).</w:t>
      </w:r>
    </w:p>
    <w:p w14:paraId="6E234780" w14:textId="77777777" w:rsidR="0050648D" w:rsidRPr="0050648D" w:rsidRDefault="0050648D" w:rsidP="0050648D">
      <w:pPr>
        <w:rPr>
          <w:b/>
          <w:bCs/>
        </w:rPr>
      </w:pPr>
      <w:r w:rsidRPr="0050648D">
        <w:rPr>
          <w:b/>
          <w:bCs/>
        </w:rPr>
        <w:t>Geographic and Customer Insights</w:t>
      </w:r>
    </w:p>
    <w:p w14:paraId="5A7AFCFF" w14:textId="77777777" w:rsidR="0050648D" w:rsidRPr="0050648D" w:rsidRDefault="0050648D" w:rsidP="0050648D">
      <w:pPr>
        <w:numPr>
          <w:ilvl w:val="0"/>
          <w:numId w:val="11"/>
        </w:numPr>
      </w:pPr>
      <w:r w:rsidRPr="0050648D">
        <w:rPr>
          <w:b/>
          <w:bCs/>
        </w:rPr>
        <w:t>Regional Sales Distribution</w:t>
      </w:r>
      <w:r w:rsidRPr="0050648D">
        <w:t>: California dominates with $457,688 in sales (over 20% of total), followed by New York ($224,732) and Texas ($170,188). Underperforming states like Wyoming ($1,603) and West Virginia ($1,210) suggest opportunities for geographic expansion or targeted marketing in the Midwest and South.</w:t>
      </w:r>
    </w:p>
    <w:p w14:paraId="3B48BA73" w14:textId="77777777" w:rsidR="0050648D" w:rsidRPr="0050648D" w:rsidRDefault="0050648D" w:rsidP="0050648D">
      <w:pPr>
        <w:numPr>
          <w:ilvl w:val="0"/>
          <w:numId w:val="11"/>
        </w:numPr>
      </w:pPr>
      <w:r w:rsidRPr="0050648D">
        <w:rPr>
          <w:b/>
          <w:bCs/>
        </w:rPr>
        <w:t>Top Customers by Profit</w:t>
      </w:r>
      <w:r w:rsidRPr="0050648D">
        <w:t>: Tamara Chand tops the list with $8,981 in profit contribution, followed by Raymond Buch ($6,976) and Sanjit Chand ($5,757). The top 5 customers alone generated over $32,782 in profit, emphasizing the value of nurturing key accounts through loyalty programs.</w:t>
      </w:r>
    </w:p>
    <w:p w14:paraId="70259242" w14:textId="77777777" w:rsidR="0050648D" w:rsidRPr="0050648D" w:rsidRDefault="0050648D" w:rsidP="0050648D">
      <w:pPr>
        <w:numPr>
          <w:ilvl w:val="0"/>
          <w:numId w:val="11"/>
        </w:numPr>
      </w:pPr>
      <w:r w:rsidRPr="0050648D">
        <w:rPr>
          <w:b/>
          <w:bCs/>
        </w:rPr>
        <w:t>Customer Profit Concentration</w:t>
      </w:r>
      <w:r w:rsidRPr="0050648D">
        <w:t>: While top customers drive high profits, the bottom performers (e.g., Cindy Stewart at -$6,626) indicate potential losses from returns or discounts, recommending a review of customer segmentation for risk mitigation.</w:t>
      </w:r>
    </w:p>
    <w:p w14:paraId="6C68EEED" w14:textId="77777777" w:rsidR="0050648D" w:rsidRPr="0050648D" w:rsidRDefault="0050648D" w:rsidP="0050648D">
      <w:pPr>
        <w:rPr>
          <w:b/>
          <w:bCs/>
        </w:rPr>
      </w:pPr>
      <w:r w:rsidRPr="0050648D">
        <w:rPr>
          <w:b/>
          <w:bCs/>
        </w:rPr>
        <w:lastRenderedPageBreak/>
        <w:t>Opportunities and Recommendations</w:t>
      </w:r>
    </w:p>
    <w:p w14:paraId="10A2EB2B" w14:textId="77777777" w:rsidR="0050648D" w:rsidRPr="0050648D" w:rsidRDefault="0050648D" w:rsidP="0050648D">
      <w:pPr>
        <w:numPr>
          <w:ilvl w:val="0"/>
          <w:numId w:val="12"/>
        </w:numPr>
      </w:pPr>
      <w:r w:rsidRPr="0050648D">
        <w:rPr>
          <w:b/>
          <w:bCs/>
        </w:rPr>
        <w:t>Profit vs. Sales Mismatch</w:t>
      </w:r>
      <w:r w:rsidRPr="0050648D">
        <w:t>: High-sales categories like Furniture (e.g., Chairs at $328,168) yield lower profits compared to Technology, suggesting cost efficiencies or pricing adjustments in underperforming areas.</w:t>
      </w:r>
    </w:p>
    <w:p w14:paraId="552487D8" w14:textId="77777777" w:rsidR="0050648D" w:rsidRPr="0050648D" w:rsidRDefault="0050648D" w:rsidP="0050648D">
      <w:pPr>
        <w:numPr>
          <w:ilvl w:val="0"/>
          <w:numId w:val="12"/>
        </w:numPr>
      </w:pPr>
      <w:r w:rsidRPr="0050648D">
        <w:rPr>
          <w:b/>
          <w:bCs/>
        </w:rPr>
        <w:t>Seasonal and Trend Opportunities</w:t>
      </w:r>
      <w:r w:rsidRPr="0050648D">
        <w:t>: With sales dipping in February ($59,751) and peaking in Q4, implement off-season promotions or inventory planning to balance revenue. Additionally, the upward profit trend in Technology (from $21,493 to $50,685) supports investing in emerging tech products.</w:t>
      </w:r>
    </w:p>
    <w:p w14:paraId="757C3E49" w14:textId="77777777" w:rsidR="0050648D" w:rsidRPr="0050648D" w:rsidRDefault="0050648D" w:rsidP="0050648D">
      <w:pPr>
        <w:numPr>
          <w:ilvl w:val="0"/>
          <w:numId w:val="12"/>
        </w:numPr>
      </w:pPr>
      <w:r w:rsidRPr="0050648D">
        <w:rPr>
          <w:b/>
          <w:bCs/>
        </w:rPr>
        <w:t>Data Quality Note</w:t>
      </w:r>
      <w:r w:rsidRPr="0050648D">
        <w:t>: The raw CSV includes 9,994 entries with no major anomalies (e.g., all profits and sales are consistent), but future analyses could incorporate discounts or returns for deeper profitability insights.</w:t>
      </w:r>
    </w:p>
    <w:p w14:paraId="28894D65" w14:textId="77777777" w:rsidR="00F42859" w:rsidRPr="00F42859" w:rsidRDefault="00F42859" w:rsidP="00F42859"/>
    <w:sectPr w:rsidR="00F42859" w:rsidRPr="00F4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AB1"/>
    <w:multiLevelType w:val="multilevel"/>
    <w:tmpl w:val="BD2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1142"/>
    <w:multiLevelType w:val="multilevel"/>
    <w:tmpl w:val="8A2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54C94"/>
    <w:multiLevelType w:val="multilevel"/>
    <w:tmpl w:val="FF4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A7A6C"/>
    <w:multiLevelType w:val="multilevel"/>
    <w:tmpl w:val="B14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21B4"/>
    <w:multiLevelType w:val="multilevel"/>
    <w:tmpl w:val="3C0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E5096"/>
    <w:multiLevelType w:val="multilevel"/>
    <w:tmpl w:val="90D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712CD"/>
    <w:multiLevelType w:val="multilevel"/>
    <w:tmpl w:val="EAB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73FEB"/>
    <w:multiLevelType w:val="multilevel"/>
    <w:tmpl w:val="CC5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56DD"/>
    <w:multiLevelType w:val="multilevel"/>
    <w:tmpl w:val="4E3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E7AE4"/>
    <w:multiLevelType w:val="multilevel"/>
    <w:tmpl w:val="BC4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1121"/>
    <w:multiLevelType w:val="multilevel"/>
    <w:tmpl w:val="8DD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B4814"/>
    <w:multiLevelType w:val="multilevel"/>
    <w:tmpl w:val="C41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6913">
    <w:abstractNumId w:val="9"/>
  </w:num>
  <w:num w:numId="2" w16cid:durableId="2019428943">
    <w:abstractNumId w:val="10"/>
  </w:num>
  <w:num w:numId="3" w16cid:durableId="1796562338">
    <w:abstractNumId w:val="5"/>
  </w:num>
  <w:num w:numId="4" w16cid:durableId="83965914">
    <w:abstractNumId w:val="8"/>
  </w:num>
  <w:num w:numId="5" w16cid:durableId="464273862">
    <w:abstractNumId w:val="6"/>
  </w:num>
  <w:num w:numId="6" w16cid:durableId="374888643">
    <w:abstractNumId w:val="0"/>
  </w:num>
  <w:num w:numId="7" w16cid:durableId="604848176">
    <w:abstractNumId w:val="11"/>
  </w:num>
  <w:num w:numId="8" w16cid:durableId="797990588">
    <w:abstractNumId w:val="3"/>
  </w:num>
  <w:num w:numId="9" w16cid:durableId="497497718">
    <w:abstractNumId w:val="2"/>
  </w:num>
  <w:num w:numId="10" w16cid:durableId="2122261997">
    <w:abstractNumId w:val="1"/>
  </w:num>
  <w:num w:numId="11" w16cid:durableId="1014039066">
    <w:abstractNumId w:val="4"/>
  </w:num>
  <w:num w:numId="12" w16cid:durableId="1647008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43"/>
    <w:rsid w:val="00356AC8"/>
    <w:rsid w:val="003D7AB5"/>
    <w:rsid w:val="0050648D"/>
    <w:rsid w:val="008D5A51"/>
    <w:rsid w:val="00942724"/>
    <w:rsid w:val="009C0932"/>
    <w:rsid w:val="00AE7C0E"/>
    <w:rsid w:val="00D13F1B"/>
    <w:rsid w:val="00D5382B"/>
    <w:rsid w:val="00D95E8E"/>
    <w:rsid w:val="00DA32CF"/>
    <w:rsid w:val="00EA1C43"/>
    <w:rsid w:val="00F4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B9BB"/>
  <w15:chartTrackingRefBased/>
  <w15:docId w15:val="{3485C6B0-82D0-4EF0-81F3-901012A9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C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C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C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7</cp:revision>
  <dcterms:created xsi:type="dcterms:W3CDTF">2025-09-22T05:38:00Z</dcterms:created>
  <dcterms:modified xsi:type="dcterms:W3CDTF">2025-09-22T08:18:00Z</dcterms:modified>
</cp:coreProperties>
</file>