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20"/>
        <w:jc w:val="center"/>
      </w:pPr>
      <w:r>
        <w:rPr>
          <w:rFonts w:ascii="SimSong" w:hAnsi="SimSong" w:eastAsia="宋体" w:cs="SimSong"/>
          <w:b/>
          <w:color w:val="18A984"/>
          <w:sz w:val="20"/>
        </w:rPr>
        <w:t>PRODUCT GUIDE</w:t>
      </w:r>
    </w:p>
    <w:p>
      <w:pPr>
        <w:spacing w:after="40"/>
        <w:jc w:val="center"/>
      </w:pPr>
      <w:r>
        <w:rPr>
          <w:rFonts w:ascii="SimSong" w:hAnsi="SimSong" w:eastAsia="宋体" w:cs="SimSong"/>
          <w:b/>
          <w:color w:val="0B2545"/>
          <w:sz w:val="68"/>
        </w:rPr>
        <w:t>CLONE</w:t>
      </w:r>
    </w:p>
    <w:p>
      <w:pPr>
        <w:spacing w:after="160"/>
        <w:jc w:val="center"/>
      </w:pPr>
      <w:r>
        <w:rPr>
          <w:rFonts w:ascii="SimSong" w:hAnsi="SimSong" w:eastAsia="宋体" w:cs="SimSong"/>
          <w:b/>
          <w:color w:val="1F4D78"/>
          <w:sz w:val="48"/>
        </w:rPr>
        <w:t>AI 运营指挥中心</w:t>
      </w:r>
    </w:p>
    <w:p>
      <w:pPr>
        <w:spacing w:after="440"/>
        <w:jc w:val="center"/>
      </w:pPr>
      <w:r>
        <w:rPr>
          <w:rFonts w:ascii="SimSong" w:hAnsi="SimSong" w:eastAsia="宋体" w:cs="SimSong"/>
          <w:color w:val="5C6B78"/>
          <w:sz w:val="30"/>
        </w:rPr>
        <w:t>Centro de Operaciones 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SimSong" w:hAnsi="SimSong" w:eastAsia="宋体" w:cs="SimSong"/>
                <w:b/>
                <w:color w:val="18A984"/>
                <w:sz w:val="18"/>
              </w:rPr>
              <w:t xml:space="preserve">产品主张  </w:t>
            </w:r>
            <w:r>
              <w:rPr>
                <w:rFonts w:ascii="SimSong" w:hAnsi="SimSong" w:eastAsia="宋体" w:cs="SimSong"/>
                <w:color w:val="17202A"/>
                <w:sz w:val="19"/>
              </w:rPr>
              <w:t>不是更多看板，而是一支懂你业务、会协作、能执行且可追溯的 AI 团队。</w:t>
            </w:r>
          </w:p>
        </w:tc>
      </w:tr>
    </w:tbl>
    <w:p>
      <w:pPr>
        <w:spacing w:after="0"/>
      </w:pPr>
    </w:p>
    <w:p>
      <w:pPr>
        <w:spacing w:before="600"/>
        <w:jc w:val="center"/>
      </w:pPr>
      <w:r>
        <w:rPr>
          <w:rFonts w:ascii="SimSong" w:hAnsi="SimSong" w:eastAsia="宋体" w:cs="SimSong"/>
          <w:color w:val="5C6B78"/>
          <w:sz w:val="20"/>
        </w:rPr>
        <w:t>DEONCE B2B 运营层演示原型</w:t>
        <w:br/>
        <w:t>版本 1.0 · 2026 年 8 月</w:t>
      </w:r>
    </w:p>
    <w:p>
      <w:r>
        <w:rPr>
          <w:rFonts w:ascii="SimSong" w:hAnsi="SimSong" w:eastAsia="宋体" w:cs="SimSong"/>
        </w:rPr>
        <w:br w:type="page"/>
      </w:r>
    </w:p>
    <w:p>
      <w:pPr>
        <w:pStyle w:val="Heading1"/>
      </w:pPr>
      <w:r>
        <w:rPr>
          <w:rFonts w:ascii="SimSong" w:hAnsi="SimSong" w:eastAsia="宋体" w:cs="SimSong"/>
        </w:rPr>
        <w:t>1. 文档概述</w:t>
      </w:r>
    </w:p>
    <w:p>
      <w:r>
        <w:rPr>
          <w:rFonts w:ascii="SimSong" w:hAnsi="SimSong" w:eastAsia="宋体" w:cs="SimSong"/>
        </w:rPr>
        <w:t>本说明书用于介绍 CLONE 西班牙语高保真原型的产品定位、功能结构、交互流程、演示方法以及与真实系统对接时的数据和安全边界。它适合比赛申报、项目路演、学生分工与后续 MVP 迭代。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产品名称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CLONE - Commercial Logic &amp; Operation Native Engine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面向对象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阿根廷及南美 B2B 批发商户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原型语言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西班牙语（es-AR）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主要场景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AI 自动运营的一天：监控、分析、决策、审批、执行、审计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当前阶段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可点击高保真前端演示，不连接真实业务 API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SimSong" w:hAnsi="SimSong" w:eastAsia="宋体" w:cs="SimSong"/>
        </w:rPr>
        <w:t>1.1 与 DEONCE 的关系</w:t>
      </w:r>
    </w:p>
    <w:p>
      <w:r>
        <w:rPr>
          <w:rFonts w:ascii="SimSong" w:hAnsi="SimSong" w:eastAsia="宋体" w:cs="SimSong"/>
        </w:rPr>
        <w:t>CLONE 不取代 DEONCE，而是嵌入其上方的 AI 运营层。DEONCE 继续承担商品、客户、订单和交易；CLONE 负责读取经营信号、协调多个 Agent、生成可审批决策，并将执行结果与审计记录回写平台。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SimSong" w:hAnsi="SimSong" w:eastAsia="宋体" w:cs="SimSong"/>
                <w:b/>
                <w:color w:val="18A984"/>
                <w:sz w:val="18"/>
              </w:rPr>
              <w:t xml:space="preserve">核心闭环  </w:t>
            </w:r>
            <w:r>
              <w:rPr>
                <w:rFonts w:ascii="SimSong" w:hAnsi="SimSong" w:eastAsia="宋体" w:cs="SimSong"/>
                <w:color w:val="17202A"/>
                <w:sz w:val="19"/>
              </w:rPr>
              <w:t>DEONCE 业务对象 → CLONE 多 Agent 分析 → 人工审批 → 执行与回写 → 可追溯记录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SimSong" w:hAnsi="SimSong" w:eastAsia="宋体" w:cs="SimSong"/>
        </w:rPr>
        <w:t>2. 产品价值与技术差异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33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传统跨境系统</w:t>
            </w:r>
          </w:p>
        </w:tc>
        <w:tc>
          <w:tcPr>
            <w:tcW w:type="dxa" w:w="43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CLONE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交互方式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菜单、报表、筛选条件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自然语言 + 可视化决策卡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工作单位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单个功能模块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多 Agent 共同完成业务目标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产出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数据和图表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建议、审批、执行与审计闭环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经验利用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人工操作流程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将商户偏好与白城批发经验键入 Agent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风险控制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权限与日志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证据链、人工审批、前后值和执行结果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SimSong" w:hAnsi="SimSong" w:eastAsia="宋体" w:cs="SimSong"/>
        </w:rPr>
        <w:t>经营者看到的不是“AI 说了什么”，而是“AI 发现了什么、为什么这样判断、建议做什么、最后是否执行成功”。</w:t>
      </w:r>
    </w:p>
    <w:p>
      <w:pPr>
        <w:pStyle w:val="ListBullet"/>
      </w:pPr>
      <w:r>
        <w:rPr>
          <w:rFonts w:ascii="SimSong" w:hAnsi="SimSong" w:eastAsia="宋体" w:cs="SimSong"/>
        </w:rPr>
        <w:t>低风险任务可自动化，价格、采购、税务和客户承诺等高风险操作默认要求人工审批。</w:t>
      </w:r>
    </w:p>
    <w:p>
      <w:pPr>
        <w:pStyle w:val="ListBullet"/>
      </w:pPr>
      <w:r>
        <w:rPr>
          <w:rFonts w:ascii="SimSong" w:hAnsi="SimSong" w:eastAsia="宋体" w:cs="SimSong"/>
        </w:rPr>
        <w:t>数据、Agent 和决策记录可持久化，让不同班次和不同团队成员共享业务记忆。</w:t>
      </w:r>
    </w:p>
    <w:p>
      <w:pPr>
        <w:pStyle w:val="Heading1"/>
      </w:pPr>
      <w:r>
        <w:rPr>
          <w:rFonts w:ascii="SimSong" w:hAnsi="SimSong" w:eastAsia="宋体" w:cs="SimSong"/>
        </w:rPr>
        <w:t>3. 信息架构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主视图</w:t>
            </w:r>
          </w:p>
        </w:tc>
        <w:tc>
          <w:tcPr>
            <w:tcW w:type="dxa" w:w="373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373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现场演示价值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Centro de mando</w:t>
            </w:r>
          </w:p>
        </w:tc>
        <w:tc>
          <w:tcPr>
            <w:tcW w:type="dxa" w:w="3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查看今日 KPI、时间线、异常与首要决策</w:t>
            </w:r>
          </w:p>
        </w:tc>
        <w:tc>
          <w:tcPr>
            <w:tcW w:type="dxa" w:w="3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一屏理解 AI 夜间已做什么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Operaciones</w:t>
            </w:r>
          </w:p>
        </w:tc>
        <w:tc>
          <w:tcPr>
            <w:tcW w:type="dxa" w:w="3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查看 10 大运营环节的任务与信号</w:t>
            </w:r>
          </w:p>
        </w:tc>
        <w:tc>
          <w:tcPr>
            <w:tcW w:type="dxa" w:w="3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证明能力不是单点工具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Equipo IA</w:t>
            </w:r>
          </w:p>
        </w:tc>
        <w:tc>
          <w:tcPr>
            <w:tcW w:type="dxa" w:w="3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查看调度关系、Agent 活动与自定义入口</w:t>
            </w:r>
          </w:p>
        </w:tc>
        <w:tc>
          <w:tcPr>
            <w:tcW w:type="dxa" w:w="3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展示业务经验克隆与多 Agent 协作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Aprobaciones</w:t>
            </w:r>
          </w:p>
        </w:tc>
        <w:tc>
          <w:tcPr>
            <w:tcW w:type="dxa" w:w="3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审核采购、促销和客户回复</w:t>
            </w:r>
          </w:p>
        </w:tc>
        <w:tc>
          <w:tcPr>
            <w:tcW w:type="dxa" w:w="3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展示人在回路和风险边界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Informes</w:t>
            </w:r>
          </w:p>
        </w:tc>
        <w:tc>
          <w:tcPr>
            <w:tcW w:type="dxa" w:w="3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查看日报、周报、导出预览和审计事件</w:t>
            </w:r>
          </w:p>
        </w:tc>
        <w:tc>
          <w:tcPr>
            <w:tcW w:type="dxa" w:w="3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展示可追溯、可交付和可复盘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SimSong" w:hAnsi="SimSong" w:eastAsia="宋体" w:cs="SimSong"/>
        </w:rPr>
        <w:t>4. 核心功能说明</w:t>
      </w:r>
    </w:p>
    <w:p>
      <w:pPr>
        <w:pStyle w:val="Heading2"/>
      </w:pPr>
      <w:r>
        <w:rPr>
          <w:rFonts w:ascii="SimSong" w:hAnsi="SimSong" w:eastAsia="宋体" w:cs="SimSong"/>
        </w:rPr>
        <w:t>4.1 运营指挥中心</w:t>
      </w:r>
    </w:p>
    <w:p>
      <w:pPr>
        <w:pStyle w:val="ListBullet"/>
      </w:pPr>
      <w:r>
        <w:rPr>
          <w:rFonts w:ascii="SimSong" w:hAnsi="SimSong" w:eastAsia="宋体" w:cs="SimSong"/>
        </w:rPr>
        <w:t>四项首要 KPI：今日销售、AI 完成任务、节省工时、预计经营影响。</w:t>
      </w:r>
    </w:p>
    <w:p>
      <w:pPr>
        <w:pStyle w:val="ListBullet"/>
      </w:pPr>
      <w:r>
        <w:rPr>
          <w:rFonts w:ascii="SimSong" w:hAnsi="SimSong" w:eastAsia="宋体" w:cs="SimSong"/>
        </w:rPr>
        <w:t>按 Noche / Mañana / Tarde 分组的全天任务时间线，一次看到已完成、待处理和已计划任务。</w:t>
      </w:r>
    </w:p>
    <w:p>
      <w:pPr>
        <w:pStyle w:val="ListBullet"/>
      </w:pPr>
      <w:r>
        <w:rPr>
          <w:rFonts w:ascii="SimSong" w:hAnsi="SimSong" w:eastAsia="宋体" w:cs="SimSong"/>
        </w:rPr>
        <w:t>三个事件可下钻：TERMO-750 库存风险、竞品降价、ORG-4N 包装差评。</w:t>
      </w:r>
    </w:p>
    <w:p>
      <w:pPr>
        <w:pStyle w:val="Heading2"/>
      </w:pPr>
      <w:r>
        <w:rPr>
          <w:rFonts w:ascii="SimSong" w:hAnsi="SimSong" w:eastAsia="宋体" w:cs="SimSong"/>
        </w:rPr>
        <w:t>4.2 补货决策闭环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8A984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SimSong" w:hAnsi="SimSong" w:eastAsia="宋体" w:cs="SimSong"/>
                <w:b/>
                <w:color w:val="FFFFFF"/>
                <w:sz w:val="28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r>
              <w:rPr>
                <w:rFonts w:ascii="SimSong" w:hAnsi="SimSong" w:eastAsia="宋体" w:cs="SimSong"/>
                <w:b/>
                <w:color w:val="0B2545"/>
                <w:sz w:val="21"/>
              </w:rPr>
              <w:t>Detectar 检测</w:t>
            </w:r>
            <w:r>
              <w:rPr>
                <w:rFonts w:ascii="SimSong" w:hAnsi="SimSong" w:eastAsia="宋体" w:cs="SimSong"/>
                <w:sz w:val="18"/>
              </w:rPr>
              <w:br/>
              <w:t>库存 Agent 发现可用库存只能覆盖 8.6 天。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8A984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SimSong" w:hAnsi="SimSong" w:eastAsia="宋体" w:cs="SimSong"/>
                <w:b/>
                <w:color w:val="FFFFFF"/>
                <w:sz w:val="28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r>
              <w:rPr>
                <w:rFonts w:ascii="SimSong" w:hAnsi="SimSong" w:eastAsia="宋体" w:cs="SimSong"/>
                <w:b/>
                <w:color w:val="0B2545"/>
                <w:sz w:val="21"/>
              </w:rPr>
              <w:t>Analizar 分析</w:t>
            </w:r>
            <w:r>
              <w:rPr>
                <w:rFonts w:ascii="SimSong" w:hAnsi="SimSong" w:eastAsia="宋体" w:cs="SimSong"/>
                <w:sz w:val="18"/>
              </w:rPr>
              <w:br/>
              <w:t>供应链 Agent 比较 1688 供应商，合规 Agent 校验 HS 9617.00 和 AFIP 风险。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8A984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SimSong" w:hAnsi="SimSong" w:eastAsia="宋体" w:cs="SimSong"/>
                <w:b/>
                <w:color w:val="FFFFFF"/>
                <w:sz w:val="28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r>
              <w:rPr>
                <w:rFonts w:ascii="SimSong" w:hAnsi="SimSong" w:eastAsia="宋体" w:cs="SimSong"/>
                <w:b/>
                <w:color w:val="0B2545"/>
                <w:sz w:val="21"/>
              </w:rPr>
              <w:t>Recomendar 建议</w:t>
            </w:r>
            <w:r>
              <w:rPr>
                <w:rFonts w:ascii="SimSong" w:hAnsi="SimSong" w:eastAsia="宋体" w:cs="SimSong"/>
                <w:sz w:val="18"/>
              </w:rPr>
              <w:br/>
              <w:t>调度器建议当日下单 1,800 件，投资 USD 14,760。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8A984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SimSong" w:hAnsi="SimSong" w:eastAsia="宋体" w:cs="SimSong"/>
                <w:b/>
                <w:color w:val="FFFFFF"/>
                <w:sz w:val="28"/>
              </w:rPr>
              <w:t>4</w:t>
            </w:r>
          </w:p>
        </w:tc>
        <w:tc>
          <w:tcPr>
            <w:tcW w:type="dxa" w:w="8640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r>
              <w:rPr>
                <w:rFonts w:ascii="SimSong" w:hAnsi="SimSong" w:eastAsia="宋体" w:cs="SimSong"/>
                <w:b/>
                <w:color w:val="0B2545"/>
                <w:sz w:val="21"/>
              </w:rPr>
              <w:t>Aprobar 审批</w:t>
            </w:r>
            <w:r>
              <w:rPr>
                <w:rFonts w:ascii="SimSong" w:hAnsi="SimSong" w:eastAsia="宋体" w:cs="SimSong"/>
                <w:sz w:val="18"/>
              </w:rPr>
              <w:br/>
              <w:t>经营者可批准、调整数量或拒绝。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8A984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SimSong" w:hAnsi="SimSong" w:eastAsia="宋体" w:cs="SimSong"/>
                <w:b/>
                <w:color w:val="FFFFFF"/>
                <w:sz w:val="28"/>
              </w:rPr>
              <w:t>5</w:t>
            </w:r>
          </w:p>
        </w:tc>
        <w:tc>
          <w:tcPr>
            <w:tcW w:type="dxa" w:w="8640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r>
              <w:rPr>
                <w:rFonts w:ascii="SimSong" w:hAnsi="SimSong" w:eastAsia="宋体" w:cs="SimSong"/>
                <w:b/>
                <w:color w:val="0B2545"/>
                <w:sz w:val="21"/>
              </w:rPr>
              <w:t>Ejecutar 执行</w:t>
            </w:r>
            <w:r>
              <w:rPr>
                <w:rFonts w:ascii="SimSong" w:hAnsi="SimSong" w:eastAsia="宋体" w:cs="SimSong"/>
                <w:sz w:val="18"/>
              </w:rPr>
              <w:br/>
              <w:t>原型模拟已批准、已计划、执行中、已执行的过渡。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8A984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SimSong" w:hAnsi="SimSong" w:eastAsia="宋体" w:cs="SimSong"/>
                <w:b/>
                <w:color w:val="FFFFFF"/>
                <w:sz w:val="28"/>
              </w:rPr>
              <w:t>6</w:t>
            </w:r>
          </w:p>
        </w:tc>
        <w:tc>
          <w:tcPr>
            <w:tcW w:type="dxa" w:w="8640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r>
              <w:rPr>
                <w:rFonts w:ascii="SimSong" w:hAnsi="SimSong" w:eastAsia="宋体" w:cs="SimSong"/>
                <w:b/>
                <w:color w:val="0B2545"/>
                <w:sz w:val="21"/>
              </w:rPr>
              <w:t>Auditar 审计</w:t>
            </w:r>
            <w:r>
              <w:rPr>
                <w:rFonts w:ascii="SimSong" w:hAnsi="SimSong" w:eastAsia="宋体" w:cs="SimSong"/>
                <w:sz w:val="18"/>
              </w:rPr>
              <w:br/>
              <w:t>操作人、时间、Agent、证据、前后值和结果进入审计表。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SimSong" w:hAnsi="SimSong" w:eastAsia="宋体" w:cs="SimSong"/>
        </w:rPr>
        <w:t>4.3 十大运营环节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400"/>
        <w:gridCol w:w="6440"/>
      </w:tblGrid>
      <w:tr>
        <w:trPr>
          <w:tblHeader w:val="true"/>
        </w:trPr>
        <w:tc>
          <w:tcPr>
            <w:tcW w:type="dxa" w:w="52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644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典型产出</w:t>
            </w:r>
          </w:p>
        </w:tc>
      </w:tr>
      <w:tr>
        <w:tc>
          <w:tcPr>
            <w:tcW w:type="dxa" w:w="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1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订单与绩效</w:t>
            </w:r>
          </w:p>
        </w:tc>
        <w:tc>
          <w:tcPr>
            <w:tcW w:type="dxa" w:w="6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订单、销售、毛利和异常对账</w:t>
            </w:r>
          </w:p>
        </w:tc>
      </w:tr>
      <w:tr>
        <w:tc>
          <w:tcPr>
            <w:tcW w:type="dxa" w:w="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2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Listing 状态</w:t>
            </w:r>
          </w:p>
        </w:tc>
        <w:tc>
          <w:tcPr>
            <w:tcW w:type="dxa" w:w="6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上架状态、价格、类目和变体完整性</w:t>
            </w:r>
          </w:p>
        </w:tc>
      </w:tr>
      <w:tr>
        <w:tc>
          <w:tcPr>
            <w:tcW w:type="dxa" w:w="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3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竞品监控</w:t>
            </w:r>
          </w:p>
        </w:tc>
        <w:tc>
          <w:tcPr>
            <w:tcW w:type="dxa" w:w="6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价格、排名、促销、评分和流量变化</w:t>
            </w:r>
          </w:p>
        </w:tc>
      </w:tr>
      <w:tr>
        <w:tc>
          <w:tcPr>
            <w:tcW w:type="dxa" w:w="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4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评论与 Feedback</w:t>
            </w:r>
          </w:p>
        </w:tc>
        <w:tc>
          <w:tcPr>
            <w:tcW w:type="dxa" w:w="6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差评扫描、情绪分类、回复草稿与根因</w:t>
            </w:r>
          </w:p>
        </w:tc>
      </w:tr>
      <w:tr>
        <w:tc>
          <w:tcPr>
            <w:tcW w:type="dxa" w:w="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5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库存与物流</w:t>
            </w:r>
          </w:p>
        </w:tc>
        <w:tc>
          <w:tcPr>
            <w:tcW w:type="dxa" w:w="6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库存水位、补货量、多仓调度与在途货件</w:t>
            </w:r>
          </w:p>
        </w:tc>
      </w:tr>
      <w:tr>
        <w:tc>
          <w:tcPr>
            <w:tcW w:type="dxa" w:w="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6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多语内容</w:t>
            </w:r>
          </w:p>
        </w:tc>
        <w:tc>
          <w:tcPr>
            <w:tcW w:type="dxa" w:w="6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基于评论、搜索词和品牌调性生成内容</w:t>
            </w:r>
          </w:p>
        </w:tc>
      </w:tr>
      <w:tr>
        <w:tc>
          <w:tcPr>
            <w:tcW w:type="dxa" w:w="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7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老品优化</w:t>
            </w:r>
          </w:p>
        </w:tc>
        <w:tc>
          <w:tcPr>
            <w:tcW w:type="dxa" w:w="6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销量趋势、词覆盖、评论变化和优化建议</w:t>
            </w:r>
          </w:p>
        </w:tc>
      </w:tr>
      <w:tr>
        <w:tc>
          <w:tcPr>
            <w:tcW w:type="dxa" w:w="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8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退货分析</w:t>
            </w:r>
          </w:p>
        </w:tc>
        <w:tc>
          <w:tcPr>
            <w:tcW w:type="dxa" w:w="6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按 SKU、变体、批次和主题定位高频问题</w:t>
            </w:r>
          </w:p>
        </w:tc>
      </w:tr>
      <w:tr>
        <w:tc>
          <w:tcPr>
            <w:tcW w:type="dxa" w:w="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9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新品开发</w:t>
            </w:r>
          </w:p>
        </w:tc>
        <w:tc>
          <w:tcPr>
            <w:tcW w:type="dxa" w:w="6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市场机会、供应商、利润、关税和 AI 评审</w:t>
            </w:r>
          </w:p>
        </w:tc>
      </w:tr>
      <w:tr>
        <w:tc>
          <w:tcPr>
            <w:tcW w:type="dxa" w:w="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10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站外流量</w:t>
            </w:r>
          </w:p>
        </w:tc>
        <w:tc>
          <w:tcPr>
            <w:tcW w:type="dxa" w:w="6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站外渠道监控、归因和内容分发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SimSong" w:hAnsi="SimSong" w:eastAsia="宋体" w:cs="SimSong"/>
        </w:rPr>
        <w:t>4.4 专属 AI 团队</w:t>
      </w:r>
    </w:p>
    <w:p>
      <w:r>
        <w:rPr>
          <w:rFonts w:ascii="SimSong" w:hAnsi="SimSong" w:eastAsia="宋体" w:cs="SimSong"/>
        </w:rPr>
        <w:t>团队页不只展示几个“机器人”，而是显示调度器与库存、供应链、合规、商业等 Agent 的职责边界。这种架构使任务可以并行执行，也使错误更易定位。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键入维度</w:t>
            </w:r>
          </w:p>
        </w:tc>
        <w:tc>
          <w:tcPr>
            <w:tcW w:type="dxa" w:w="34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0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系统结果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业务目标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“优化批发老客户复购”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创建目标明确的商业 Agent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授权数据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DEONCE CRM + 历史订单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只在授权范围内读取数据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审批边界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任何客户优惠在发布前审批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生成人机分工规则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品牌/客户规则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老客户使用更简洁的西语语气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保持每个商户独特的经营方式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SimSong" w:hAnsi="SimSong" w:eastAsia="宋体" w:cs="SimSong"/>
        </w:rPr>
        <w:t>5. 固定演示数据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400"/>
        <w:gridCol w:w="5110"/>
      </w:tblGrid>
      <w:tr>
        <w:trPr>
          <w:tblHeader w:val="true"/>
        </w:trPr>
        <w:tc>
          <w:tcPr>
            <w:tcW w:type="dxa" w:w="185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4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演示值</w:t>
            </w:r>
          </w:p>
        </w:tc>
        <w:tc>
          <w:tcPr>
            <w:tcW w:type="dxa" w:w="511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一致性说明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SKU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TERMO-750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补货主案例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库存 / 日均销量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412 / 47.8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412 ÷ 47.8 = 8.6 天覆盖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总交期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24 天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远大于当前覆盖天数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建议量 / 单价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1,800 件 / USD 8.20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投资额 = USD 14,760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预计毛利率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36.2%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包含物流与税费的原型设定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保护销售额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ARS 18.4M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避免预计 16 天断货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竞品变化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ARS 42,900 → 39,990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降幅约 6.8%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差评对象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ORG-4N / L-0826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2 星，包装损坏，7 条同类问题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SimSong" w:hAnsi="SimSong" w:eastAsia="宋体" w:cs="SimSong"/>
                <w:b/>
                <w:color w:val="B7791F"/>
                <w:sz w:val="18"/>
              </w:rPr>
              <w:t xml:space="preserve">数据声明  </w:t>
            </w:r>
            <w:r>
              <w:rPr>
                <w:rFonts w:ascii="SimSong" w:hAnsi="SimSong" w:eastAsia="宋体" w:cs="SimSong"/>
                <w:color w:val="17202A"/>
                <w:sz w:val="19"/>
              </w:rPr>
              <w:t>上述数字仅用于比赛演示和交互说明，不代表真实企业交易、库存、客户或税务记录。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SimSong" w:hAnsi="SimSong" w:eastAsia="宋体" w:cs="SimSong"/>
        </w:rPr>
        <w:t>6. 四分钟路演剧本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00"/>
        <w:gridCol w:w="3200"/>
        <w:gridCol w:w="3210"/>
      </w:tblGrid>
      <w:tr>
        <w:trPr>
          <w:tblHeader w:val="true"/>
        </w:trPr>
        <w:tc>
          <w:tcPr>
            <w:tcW w:type="dxa" w:w="115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8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2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讲解要点</w:t>
            </w:r>
          </w:p>
        </w:tc>
        <w:tc>
          <w:tcPr>
            <w:tcW w:type="dxa" w:w="321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评委记忆点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0:00-0:40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首页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讲解 128 项夜间任务和四个 KPI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AI 已从“回答问题”进入“自主工作”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0:40-1:50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点击 TERMO-750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解释四 Agent 证据链，点击批准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数据、推理、人工决策和执行闭环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1:50-2:25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Equipo IA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展示协作图和 Forjar nuevo agente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可将每个商户的经营习惯键入 Agent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2:25-3:10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竞品降价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展示 AI 不建议盲目跟价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不只报警，而是保护利润的决策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3:10-3:40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Informes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查看审计记录和导出预览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每个动作可解释、可追溯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3:40-4:00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返回首页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用产品主张收尾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不是更多看板，而是懂业务的 AI 团队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SimSong" w:hAnsi="SimSong" w:eastAsia="宋体" w:cs="SimSong"/>
        </w:rPr>
        <w:t>开始前点击顶栏“Reiniciar demo”，确保审批、任务和审计记录回到初始状态。</w:t>
      </w:r>
    </w:p>
    <w:p>
      <w:pPr>
        <w:pStyle w:val="ListBullet"/>
      </w:pPr>
      <w:r>
        <w:rPr>
          <w:rFonts w:ascii="SimSong" w:hAnsi="SimSong" w:eastAsia="宋体" w:cs="SimSong"/>
        </w:rPr>
        <w:t>不要一开始讲模型参数；先讲经营问题、预计损失和人的决策权。</w:t>
      </w:r>
    </w:p>
    <w:p>
      <w:pPr>
        <w:pStyle w:val="ListBullet"/>
      </w:pPr>
      <w:r>
        <w:rPr>
          <w:rFonts w:ascii="SimSong" w:hAnsi="SimSong" w:eastAsia="宋体" w:cs="SimSong"/>
        </w:rPr>
        <w:t>如果时间被压缩，保留首页、补货审批和审计页三步即可完成闭环。</w:t>
      </w:r>
    </w:p>
    <w:p>
      <w:pPr>
        <w:pStyle w:val="Heading1"/>
      </w:pPr>
      <w:r>
        <w:rPr>
          <w:rFonts w:ascii="SimSong" w:hAnsi="SimSong" w:eastAsia="宋体" w:cs="SimSong"/>
        </w:rPr>
        <w:t>7. 安全、合规与人机边界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风险类型</w:t>
            </w:r>
          </w:p>
        </w:tc>
        <w:tc>
          <w:tcPr>
            <w:tcW w:type="dxa" w:w="31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原型处理</w:t>
            </w:r>
          </w:p>
        </w:tc>
        <w:tc>
          <w:tcPr>
            <w:tcW w:type="dxa" w:w="44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真实系统要求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采购下单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仅模拟状态过渡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签名请求、金额阈值、双人审批和可撤销窗口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价格与促销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生成建议和审批项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渠道权限隔离、有效期和最低毛利保护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客户消息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草稿与模拟发送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隐私授权、敏感信息脱敏和语气审查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税务与海关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展示 HS 编码和风险结论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规则版本、来源签名、专业人员复核和生效日期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审计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展示操作人和状态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事件 ID、证据、前后值、模型/规则版本与不可篡改存储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SimSong" w:hAnsi="SimSong" w:eastAsia="宋体" w:cs="SimSong"/>
                <w:b/>
                <w:color w:val="9B1C1C"/>
                <w:sz w:val="18"/>
              </w:rPr>
              <w:t xml:space="preserve">原型边界  </w:t>
            </w:r>
            <w:r>
              <w:rPr>
                <w:rFonts w:ascii="SimSong" w:hAnsi="SimSong" w:eastAsia="宋体" w:cs="SimSong"/>
                <w:color w:val="17202A"/>
                <w:sz w:val="19"/>
              </w:rPr>
              <w:t>当前页面明示“Entorno de demostración”。所有订单、客户消息、导出、税务和下单动作均为本地模拟，不会对外发送。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SimSong" w:hAnsi="SimSong" w:eastAsia="宋体" w:cs="SimSong"/>
        </w:rPr>
        <w:t>8. 本地运行与交互清单</w:t>
      </w:r>
    </w:p>
    <w:p>
      <w:r>
        <w:rPr>
          <w:rFonts w:ascii="SimSong" w:hAnsi="SimSong" w:eastAsia="宋体" w:cs="SimSong"/>
        </w:rPr>
        <w:t>原型使用原生 HTML/CSS/JavaScript，无需安装前端依赖。为避免浏览器对本地文件的限制，建议在原型目录启动一个本地静态服务。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SimSong" w:hAnsi="SimSong" w:eastAsia="宋体" w:cs="SimSong"/>
                <w:b/>
                <w:color w:val="18A984"/>
                <w:sz w:val="18"/>
              </w:rPr>
              <w:t xml:space="preserve">运行命令  </w:t>
            </w:r>
            <w:r>
              <w:rPr>
                <w:rFonts w:ascii="SimSong" w:hAnsi="SimSong" w:eastAsia="宋体" w:cs="SimSong"/>
                <w:color w:val="17202A"/>
                <w:sz w:val="19"/>
              </w:rPr>
              <w:t>python3 -m http.server 4173 --directory clone-prototype</w:t>
              <w:br/>
              <w:t>然后访问 http://localhost:4173/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200"/>
        <w:gridCol w:w="4260"/>
      </w:tblGrid>
      <w:tr>
        <w:trPr>
          <w:tblHeader w:val="true"/>
        </w:trPr>
        <w:tc>
          <w:tcPr>
            <w:tcW w:type="dxa" w:w="19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交互</w:t>
            </w:r>
          </w:p>
        </w:tc>
        <w:tc>
          <w:tcPr>
            <w:tcW w:type="dxa" w:w="32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42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主导航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左侧边栏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切换五个主视图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事件下钻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首页时间线 / Operaciones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右侧打开证据与建议面板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补货审批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TERMO-750 详情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显示四段执行状态并更新审计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AI 对话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右下角 Preguntar a CLONE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点击预设问题或输入自定义问题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演示重置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顶栏 Reiniciar demo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所有临时状态返回初始值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导出预览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Informes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显示模拟文件名、格式与字段说明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SimSong" w:hAnsi="SimSong" w:eastAsia="宋体" w:cs="SimSong"/>
        </w:rPr>
        <w:t>9. 建议的学生分工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9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主要责任</w:t>
            </w:r>
          </w:p>
        </w:tc>
        <w:tc>
          <w:tcPr>
            <w:tcW w:type="dxa" w:w="35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宋体" w:cs="SimSong"/>
                <w:b/>
                <w:color w:val="FFFFFF"/>
                <w:sz w:val="18"/>
              </w:rPr>
              <w:t>阶段产出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产品/路演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需求边界、演示剧本、评委问答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产品故事与 4 分钟讲稿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西语本地化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es-AR 术语、日期、金额与业务语气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西语 UI 文案审校表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前端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视图、响应式、交互状态与无障碍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可点击原型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数据/AI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演示数据字典、Agent 接口和推理证据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数据契约与模拟 API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安全/合规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审批阈值、审计字段、AFIP 规则来源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宋体" w:cs="SimSong"/>
                <w:color w:val="17202A"/>
                <w:sz w:val="18"/>
              </w:rPr>
              <w:t>风险清单与演示边界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SimSong" w:hAnsi="SimSong" w:eastAsia="宋体" w:cs="SimSong"/>
        </w:rPr>
        <w:t>10. MVP 后续路线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8A984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SimSong" w:hAnsi="SimSong" w:eastAsia="宋体" w:cs="SimSong"/>
                <w:b/>
                <w:color w:val="FFFFFF"/>
                <w:sz w:val="28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r>
              <w:rPr>
                <w:rFonts w:ascii="SimSong" w:hAnsi="SimSong" w:eastAsia="宋体" w:cs="SimSong"/>
                <w:b/>
                <w:color w:val="0B2545"/>
                <w:sz w:val="21"/>
              </w:rPr>
              <w:t>数据打通</w:t>
            </w:r>
            <w:r>
              <w:rPr>
                <w:rFonts w:ascii="SimSong" w:hAnsi="SimSong" w:eastAsia="宋体" w:cs="SimSong"/>
                <w:sz w:val="18"/>
              </w:rPr>
              <w:br/>
              <w:t>优先接入 DEONCE 订单、SKU、库存和客户对象，建立统一 ID 与事件日志。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8A984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SimSong" w:hAnsi="SimSong" w:eastAsia="宋体" w:cs="SimSong"/>
                <w:b/>
                <w:color w:val="FFFFFF"/>
                <w:sz w:val="28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r>
              <w:rPr>
                <w:rFonts w:ascii="SimSong" w:hAnsi="SimSong" w:eastAsia="宋体" w:cs="SimSong"/>
                <w:b/>
                <w:color w:val="0B2545"/>
                <w:sz w:val="21"/>
              </w:rPr>
              <w:t>两个真实闭环</w:t>
            </w:r>
            <w:r>
              <w:rPr>
                <w:rFonts w:ascii="SimSong" w:hAnsi="SimSong" w:eastAsia="宋体" w:cs="SimSong"/>
                <w:sz w:val="18"/>
              </w:rPr>
              <w:br/>
              <w:t>先实现库存预警/补货草案以及差评分类/回复草稿，保留人工审批。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8A984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SimSong" w:hAnsi="SimSong" w:eastAsia="宋体" w:cs="SimSong"/>
                <w:b/>
                <w:color w:val="FFFFFF"/>
                <w:sz w:val="28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r>
              <w:rPr>
                <w:rFonts w:ascii="SimSong" w:hAnsi="SimSong" w:eastAsia="宋体" w:cs="SimSong"/>
                <w:b/>
                <w:color w:val="0B2545"/>
                <w:sz w:val="21"/>
              </w:rPr>
              <w:t>多 Agent 调度</w:t>
            </w:r>
            <w:r>
              <w:rPr>
                <w:rFonts w:ascii="SimSong" w:hAnsi="SimSong" w:eastAsia="宋体" w:cs="SimSong"/>
                <w:sz w:val="18"/>
              </w:rPr>
              <w:br/>
              <w:t>将数据获取、业务分析、合规检查与评审分成独立单元。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8A984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SimSong" w:hAnsi="SimSong" w:eastAsia="宋体" w:cs="SimSong"/>
                <w:b/>
                <w:color w:val="FFFFFF"/>
                <w:sz w:val="28"/>
              </w:rPr>
              <w:t>4</w:t>
            </w:r>
          </w:p>
        </w:tc>
        <w:tc>
          <w:tcPr>
            <w:tcW w:type="dxa" w:w="8640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r>
              <w:rPr>
                <w:rFonts w:ascii="SimSong" w:hAnsi="SimSong" w:eastAsia="宋体" w:cs="SimSong"/>
                <w:b/>
                <w:color w:val="0B2545"/>
                <w:sz w:val="21"/>
              </w:rPr>
              <w:t>审计与安全</w:t>
            </w:r>
            <w:r>
              <w:rPr>
                <w:rFonts w:ascii="SimSong" w:hAnsi="SimSong" w:eastAsia="宋体" w:cs="SimSong"/>
                <w:sz w:val="18"/>
              </w:rPr>
              <w:br/>
              <w:t>完成规则版本、数据血缘、审批权限、失败回滚和敏感数据控制。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8A984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SimSong" w:hAnsi="SimSong" w:eastAsia="宋体" w:cs="SimSong"/>
                <w:b/>
                <w:color w:val="FFFFFF"/>
                <w:sz w:val="28"/>
              </w:rPr>
              <w:t>5</w:t>
            </w:r>
          </w:p>
        </w:tc>
        <w:tc>
          <w:tcPr>
            <w:tcW w:type="dxa" w:w="8640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r>
              <w:rPr>
                <w:rFonts w:ascii="SimSong" w:hAnsi="SimSong" w:eastAsia="宋体" w:cs="SimSong"/>
                <w:b/>
                <w:color w:val="0B2545"/>
                <w:sz w:val="21"/>
              </w:rPr>
              <w:t>扩展南美场景</w:t>
            </w:r>
            <w:r>
              <w:rPr>
                <w:rFonts w:ascii="SimSong" w:hAnsi="SimSong" w:eastAsia="宋体" w:cs="SimSong"/>
                <w:sz w:val="18"/>
              </w:rPr>
              <w:br/>
              <w:t>在阿根廷验证后扩展葡萄牙语、巴西税务和多币种。</w:t>
            </w:r>
          </w:p>
        </w:tc>
      </w:tr>
    </w:tbl>
    <w:p>
      <w:pPr>
        <w:spacing w:after="0"/>
      </w:pPr>
    </w:p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SimSong" w:hAnsi="SimSong" w:eastAsia="宋体" w:cs="SimSong"/>
                <w:b/>
                <w:color w:val="18A984"/>
                <w:sz w:val="18"/>
              </w:rPr>
              <w:t xml:space="preserve">结语  </w:t>
            </w:r>
            <w:r>
              <w:rPr>
                <w:rFonts w:ascii="SimSong" w:hAnsi="SimSong" w:eastAsia="宋体" w:cs="SimSong"/>
                <w:color w:val="17202A"/>
                <w:sz w:val="19"/>
              </w:rPr>
              <w:t>CLONE 的先进性不应只用“大模型”表达，而应通过经营信号、多 Agent 协作、人工审批、真实执行和可追溯审计组成的完整业务闭环来证明。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imSong" w:hAnsi="SimSong" w:eastAsia="宋体" w:cs="SimSong"/>
        <w:sz w:val="16"/>
      </w:rPr>
      <w:t>功能说明书 · 2026.08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rFonts w:ascii="SimSong" w:hAnsi="SimSong" w:eastAsia="宋体" w:cs="SimSong"/>
        <w:color w:val="5C6B78"/>
        <w:sz w:val="16"/>
      </w:rPr>
      <w:t>CLONE · Centro de Operaciones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等线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CLONE AI 运营指挥中心功能说明书</dc:title>
  <dc:subject>西班牙语跨境 B2B AI 运营原型</dc:subject>
  <dc:creator>CLONE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