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rPr>
          <w:rFonts w:hint="eastAsia"/>
          <w:b/>
          <w:bCs/>
          <w:sz w:val="28"/>
          <w:szCs w:val="36"/>
        </w:rPr>
      </w:pPr>
      <w:r>
        <w:rPr>
          <w:rFonts w:hint="eastAsia"/>
          <w:b/>
          <w:bCs/>
          <w:sz w:val="32"/>
          <w:szCs w:val="40"/>
        </w:rPr>
        <w:t>上市公司净资产收益率预测分析报告</w:t>
      </w:r>
    </w:p>
    <w:p>
      <w:pPr>
        <w:spacing w:line="360" w:lineRule="auto"/>
        <w:ind w:firstLine="420" w:firstLineChars="0"/>
        <w:rPr>
          <w:rFonts w:hint="eastAsia" w:ascii="宋体" w:hAnsi="宋体" w:eastAsia="宋体" w:cs="宋体"/>
          <w:i w:val="0"/>
          <w:color w:val="000000"/>
          <w:kern w:val="0"/>
          <w:sz w:val="21"/>
          <w:szCs w:val="21"/>
          <w:u w:val="none"/>
          <w:lang w:val="en-US" w:eastAsia="zh-CN" w:bidi="ar"/>
        </w:rPr>
      </w:pPr>
      <w:r>
        <w:rPr>
          <w:rFonts w:hint="eastAsia"/>
          <w:b/>
          <w:bCs/>
          <w:sz w:val="24"/>
          <w:szCs w:val="32"/>
          <w:lang w:eastAsia="zh-CN"/>
        </w:rPr>
        <w:t>内容摘要</w:t>
      </w:r>
      <w:r>
        <w:rPr>
          <w:rFonts w:hint="eastAsia"/>
          <w:b/>
          <w:bCs/>
          <w:sz w:val="24"/>
          <w:szCs w:val="32"/>
          <w:lang w:val="en-US" w:eastAsia="zh-CN"/>
        </w:rPr>
        <w:t xml:space="preserve"> </w:t>
      </w:r>
      <w:r>
        <w:rPr>
          <w:rFonts w:hint="eastAsia" w:ascii="宋体" w:hAnsi="宋体" w:eastAsia="宋体" w:cs="宋体"/>
          <w:i w:val="0"/>
          <w:color w:val="000000"/>
          <w:kern w:val="0"/>
          <w:sz w:val="21"/>
          <w:szCs w:val="21"/>
          <w:u w:val="none"/>
          <w:lang w:val="en-US" w:eastAsia="zh-CN" w:bidi="ar"/>
        </w:rPr>
        <w:t>本报告利用我国上市公司的当年财务指标数据对其下一年度的盈利情况进行了分析和预测。从分析结果发现，公司当年的</w:t>
      </w:r>
      <w:r>
        <w:rPr>
          <w:rFonts w:hint="eastAsia" w:ascii="宋体" w:hAnsi="宋体" w:eastAsia="宋体" w:cs="宋体"/>
          <w:b w:val="0"/>
          <w:bCs w:val="0"/>
          <w:sz w:val="21"/>
          <w:szCs w:val="24"/>
          <w:lang w:val="en-US" w:eastAsia="zh-CN"/>
        </w:rPr>
        <w:t>净资产收益率（</w:t>
      </w:r>
      <w:r>
        <w:rPr>
          <w:rFonts w:hint="eastAsia" w:ascii="宋体" w:hAnsi="宋体" w:eastAsia="宋体" w:cs="宋体"/>
          <w:i w:val="0"/>
          <w:color w:val="000000"/>
          <w:kern w:val="0"/>
          <w:sz w:val="21"/>
          <w:szCs w:val="21"/>
          <w:u w:val="none"/>
          <w:lang w:val="en-US" w:eastAsia="zh-CN" w:bidi="ar"/>
        </w:rPr>
        <w:t>ROE）、资产周转率（taTurnover）、对数转换的资产总计（logTAssets）、市净率（PB）、</w:t>
      </w:r>
      <w:r>
        <w:rPr>
          <w:rFonts w:hint="eastAsia"/>
          <w:b w:val="0"/>
          <w:bCs w:val="0"/>
          <w:sz w:val="21"/>
          <w:szCs w:val="24"/>
          <w:highlight w:val="none"/>
          <w:lang w:val="en-US" w:eastAsia="zh-CN"/>
        </w:rPr>
        <w:t>营业利润/营业总收入（opTR）、</w:t>
      </w:r>
      <w:r>
        <w:rPr>
          <w:rFonts w:hint="eastAsia"/>
          <w:b w:val="0"/>
          <w:bCs w:val="0"/>
          <w:sz w:val="21"/>
          <w:szCs w:val="24"/>
          <w:highlight w:val="none"/>
          <w:lang w:eastAsia="zh-CN"/>
        </w:rPr>
        <w:t>应收账款/营业收入（</w:t>
      </w:r>
      <w:r>
        <w:rPr>
          <w:rFonts w:hint="eastAsia"/>
          <w:b w:val="0"/>
          <w:bCs w:val="0"/>
          <w:sz w:val="21"/>
          <w:szCs w:val="24"/>
          <w:highlight w:val="none"/>
          <w:lang w:val="en-US" w:eastAsia="zh-CN"/>
        </w:rPr>
        <w:t>arR）这6个财务指标，对于预测公司下一年的净资产收益率</w:t>
      </w:r>
      <w:r>
        <w:rPr>
          <w:rFonts w:hint="eastAsia" w:ascii="宋体" w:hAnsi="宋体" w:eastAsia="宋体" w:cs="宋体"/>
          <w:b w:val="0"/>
          <w:bCs w:val="0"/>
          <w:sz w:val="21"/>
          <w:szCs w:val="24"/>
          <w:lang w:val="en-US" w:eastAsia="zh-CN"/>
        </w:rPr>
        <w:t>（</w:t>
      </w:r>
      <w:r>
        <w:rPr>
          <w:rFonts w:hint="eastAsia" w:ascii="宋体" w:hAnsi="宋体" w:eastAsia="宋体" w:cs="宋体"/>
          <w:i w:val="0"/>
          <w:color w:val="000000"/>
          <w:kern w:val="0"/>
          <w:sz w:val="21"/>
          <w:szCs w:val="21"/>
          <w:u w:val="none"/>
          <w:lang w:val="en-US" w:eastAsia="zh-CN" w:bidi="ar"/>
        </w:rPr>
        <w:t>ROE</w:t>
      </w:r>
      <w:r>
        <w:rPr>
          <w:rFonts w:hint="eastAsia" w:ascii="宋体" w:hAnsi="宋体" w:eastAsia="宋体" w:cs="宋体"/>
          <w:b w:val="0"/>
          <w:bCs w:val="0"/>
          <w:sz w:val="21"/>
          <w:szCs w:val="24"/>
          <w:lang w:val="en-US" w:eastAsia="zh-CN"/>
        </w:rPr>
        <w:t>f</w:t>
      </w:r>
      <w:r>
        <w:rPr>
          <w:rFonts w:hint="eastAsia" w:ascii="宋体" w:hAnsi="宋体" w:eastAsia="宋体" w:cs="宋体"/>
          <w:i w:val="0"/>
          <w:color w:val="000000"/>
          <w:kern w:val="0"/>
          <w:sz w:val="21"/>
          <w:szCs w:val="21"/>
          <w:u w:val="none"/>
          <w:lang w:val="en-US" w:eastAsia="zh-CN" w:bidi="ar"/>
        </w:rPr>
        <w:t>）很重要，其中前5个指标与</w:t>
      </w:r>
      <w:r>
        <w:rPr>
          <w:rFonts w:hint="eastAsia"/>
          <w:b w:val="0"/>
          <w:bCs w:val="0"/>
          <w:sz w:val="21"/>
          <w:szCs w:val="24"/>
          <w:highlight w:val="none"/>
          <w:lang w:val="en-US" w:eastAsia="zh-CN"/>
        </w:rPr>
        <w:t>下一年的净资产收益率</w:t>
      </w:r>
      <w:r>
        <w:rPr>
          <w:rFonts w:hint="eastAsia" w:ascii="宋体" w:hAnsi="宋体" w:eastAsia="宋体" w:cs="宋体"/>
          <w:b w:val="0"/>
          <w:bCs w:val="0"/>
          <w:sz w:val="21"/>
          <w:szCs w:val="24"/>
          <w:lang w:val="en-US" w:eastAsia="zh-CN"/>
        </w:rPr>
        <w:t>（</w:t>
      </w:r>
      <w:r>
        <w:rPr>
          <w:rFonts w:hint="eastAsia" w:ascii="宋体" w:hAnsi="宋体" w:eastAsia="宋体" w:cs="宋体"/>
          <w:i w:val="0"/>
          <w:color w:val="000000"/>
          <w:kern w:val="0"/>
          <w:sz w:val="21"/>
          <w:szCs w:val="21"/>
          <w:u w:val="none"/>
          <w:lang w:val="en-US" w:eastAsia="zh-CN" w:bidi="ar"/>
        </w:rPr>
        <w:t>ROE</w:t>
      </w:r>
      <w:r>
        <w:rPr>
          <w:rFonts w:hint="eastAsia" w:ascii="宋体" w:hAnsi="宋体" w:eastAsia="宋体" w:cs="宋体"/>
          <w:b w:val="0"/>
          <w:bCs w:val="0"/>
          <w:sz w:val="21"/>
          <w:szCs w:val="24"/>
          <w:lang w:val="en-US" w:eastAsia="zh-CN"/>
        </w:rPr>
        <w:t>f</w:t>
      </w:r>
      <w:r>
        <w:rPr>
          <w:rFonts w:hint="eastAsia" w:ascii="宋体" w:hAnsi="宋体" w:eastAsia="宋体" w:cs="宋体"/>
          <w:i w:val="0"/>
          <w:color w:val="000000"/>
          <w:kern w:val="0"/>
          <w:sz w:val="21"/>
          <w:szCs w:val="21"/>
          <w:u w:val="none"/>
          <w:lang w:val="en-US" w:eastAsia="zh-CN" w:bidi="ar"/>
        </w:rPr>
        <w:t>）有着正相关关系。这6个财务指标主要取决于公司的规模大小、主营业务状况、市场供求状况和资产运营情况。基于本报告的分析结果来看，投资者和管理者可以利用上市公司当年的财务指标了解公司的投资风险、发展状况等信息，从而进行合理的投资规划。</w:t>
      </w:r>
    </w:p>
    <w:p>
      <w:pPr>
        <w:spacing w:line="360" w:lineRule="auto"/>
        <w:ind w:firstLine="420" w:firstLineChars="0"/>
        <w:rPr>
          <w:rFonts w:hint="default" w:ascii="宋体" w:hAnsi="宋体" w:eastAsia="宋体" w:cs="宋体"/>
          <w:i w:val="0"/>
          <w:color w:val="000000"/>
          <w:kern w:val="0"/>
          <w:sz w:val="21"/>
          <w:szCs w:val="21"/>
          <w:u w:val="none"/>
          <w:lang w:val="en-US" w:eastAsia="zh-CN" w:bidi="ar"/>
        </w:rPr>
      </w:pPr>
    </w:p>
    <w:p>
      <w:pPr>
        <w:spacing w:line="360" w:lineRule="auto"/>
        <w:rPr>
          <w:rFonts w:hint="eastAsia"/>
          <w:b/>
          <w:bCs/>
          <w:sz w:val="24"/>
          <w:szCs w:val="32"/>
        </w:rPr>
      </w:pPr>
      <w:r>
        <w:rPr>
          <w:rFonts w:hint="eastAsia"/>
          <w:b/>
          <w:bCs/>
          <w:sz w:val="24"/>
          <w:szCs w:val="32"/>
          <w:lang w:eastAsia="zh-CN"/>
        </w:rPr>
        <w:t>一、</w:t>
      </w:r>
      <w:r>
        <w:rPr>
          <w:rFonts w:hint="eastAsia"/>
          <w:b/>
          <w:bCs/>
          <w:sz w:val="24"/>
          <w:szCs w:val="32"/>
        </w:rPr>
        <w:t>研究目的</w:t>
      </w:r>
    </w:p>
    <w:p>
      <w:pPr>
        <w:spacing w:line="360" w:lineRule="auto"/>
        <w:ind w:firstLine="420" w:firstLineChars="0"/>
        <w:rPr>
          <w:rFonts w:hint="eastAsia"/>
        </w:rPr>
      </w:pPr>
      <w:r>
        <w:rPr>
          <w:rFonts w:hint="eastAsia"/>
        </w:rPr>
        <w:t>在金融市场上，</w:t>
      </w:r>
      <w:r>
        <w:rPr>
          <w:rFonts w:hint="eastAsia"/>
          <w:lang w:eastAsia="zh-CN"/>
        </w:rPr>
        <w:t>如何通过上市公司当年公开可得的财务指标对其来年的盈利进行合理的预测，</w:t>
      </w:r>
      <w:r>
        <w:rPr>
          <w:rFonts w:hint="eastAsia"/>
        </w:rPr>
        <w:t>是一个非常重要的问题。它不仅能帮助投资者了解</w:t>
      </w:r>
      <w:r>
        <w:rPr>
          <w:rFonts w:hint="eastAsia"/>
          <w:lang w:eastAsia="zh-CN"/>
        </w:rPr>
        <w:t>公司</w:t>
      </w:r>
      <w:r>
        <w:rPr>
          <w:rFonts w:hint="eastAsia"/>
        </w:rPr>
        <w:t>的盈利模式、风险大小以及进行正确的投资，而且能使管理者根据预测结果对企业的发展规划、资源配置等方面</w:t>
      </w:r>
      <w:r>
        <w:rPr>
          <w:rFonts w:hint="eastAsia"/>
          <w:lang w:eastAsia="zh-CN"/>
        </w:rPr>
        <w:t>对公司</w:t>
      </w:r>
      <w:r>
        <w:rPr>
          <w:rFonts w:hint="eastAsia"/>
        </w:rPr>
        <w:t>进行合理的规划和部署。</w:t>
      </w:r>
    </w:p>
    <w:p>
      <w:pPr>
        <w:spacing w:line="360" w:lineRule="auto"/>
        <w:ind w:firstLine="420" w:firstLineChars="0"/>
        <w:rPr>
          <w:rFonts w:hint="eastAsia"/>
        </w:rPr>
      </w:pPr>
      <w:r>
        <w:rPr>
          <w:rFonts w:hint="eastAsia"/>
        </w:rPr>
        <w:t>目前，市场上通常使用净资产收益率（ROE）来衡量企业的盈利状况，因此，本报告将对</w:t>
      </w:r>
      <w:r>
        <w:rPr>
          <w:rFonts w:hint="eastAsia"/>
          <w:lang w:eastAsia="zh-CN"/>
        </w:rPr>
        <w:t>我国</w:t>
      </w:r>
      <w:r>
        <w:rPr>
          <w:rFonts w:hint="eastAsia"/>
        </w:rPr>
        <w:t>A股</w:t>
      </w:r>
      <w:r>
        <w:rPr>
          <w:rFonts w:hint="eastAsia"/>
          <w:lang w:eastAsia="zh-CN"/>
        </w:rPr>
        <w:t>上市公司的</w:t>
      </w:r>
      <w:r>
        <w:rPr>
          <w:rFonts w:hint="eastAsia"/>
        </w:rPr>
        <w:t>财务数据</w:t>
      </w:r>
      <w:r>
        <w:rPr>
          <w:rFonts w:hint="eastAsia"/>
          <w:lang w:eastAsia="zh-CN"/>
        </w:rPr>
        <w:t>进行</w:t>
      </w:r>
      <w:r>
        <w:rPr>
          <w:rFonts w:hint="eastAsia"/>
        </w:rPr>
        <w:t>分析，</w:t>
      </w:r>
      <w:r>
        <w:rPr>
          <w:rFonts w:hint="eastAsia"/>
          <w:lang w:eastAsia="zh-CN"/>
        </w:rPr>
        <w:t>并尝试</w:t>
      </w:r>
      <w:r>
        <w:rPr>
          <w:rFonts w:hint="eastAsia"/>
        </w:rPr>
        <w:t>对上市公司来年净资产收益率（ROEf）进行</w:t>
      </w:r>
      <w:r>
        <w:rPr>
          <w:rFonts w:hint="eastAsia"/>
          <w:lang w:eastAsia="zh-CN"/>
        </w:rPr>
        <w:t>简单回归</w:t>
      </w:r>
      <w:r>
        <w:rPr>
          <w:rFonts w:hint="eastAsia"/>
        </w:rPr>
        <w:t>预测，</w:t>
      </w:r>
      <w:r>
        <w:rPr>
          <w:rFonts w:hint="eastAsia"/>
          <w:lang w:eastAsia="zh-CN"/>
        </w:rPr>
        <w:t>最后</w:t>
      </w:r>
      <w:r>
        <w:rPr>
          <w:rFonts w:hint="eastAsia"/>
        </w:rPr>
        <w:t>根据分析结果提出</w:t>
      </w:r>
      <w:r>
        <w:rPr>
          <w:rFonts w:hint="eastAsia"/>
          <w:lang w:eastAsia="zh-CN"/>
        </w:rPr>
        <w:t>相关</w:t>
      </w:r>
      <w:r>
        <w:rPr>
          <w:rFonts w:hint="eastAsia"/>
        </w:rPr>
        <w:t>结论和建议。</w:t>
      </w:r>
    </w:p>
    <w:p>
      <w:pPr>
        <w:spacing w:line="360" w:lineRule="auto"/>
        <w:ind w:firstLine="420" w:firstLineChars="0"/>
        <w:rPr>
          <w:rFonts w:hint="eastAsia"/>
        </w:rPr>
      </w:pPr>
    </w:p>
    <w:p>
      <w:pPr>
        <w:spacing w:line="360" w:lineRule="auto"/>
        <w:rPr>
          <w:rFonts w:hint="eastAsia"/>
          <w:b/>
          <w:bCs/>
          <w:sz w:val="24"/>
          <w:szCs w:val="32"/>
          <w:lang w:eastAsia="zh-CN"/>
        </w:rPr>
      </w:pPr>
      <w:r>
        <w:rPr>
          <w:rFonts w:hint="eastAsia"/>
          <w:b/>
          <w:bCs/>
          <w:sz w:val="24"/>
          <w:szCs w:val="32"/>
          <w:lang w:eastAsia="zh-CN"/>
        </w:rPr>
        <w:t>二、数据来源和相关说明</w:t>
      </w:r>
    </w:p>
    <w:p>
      <w:pPr>
        <w:spacing w:line="360" w:lineRule="auto"/>
        <w:ind w:firstLine="420" w:firstLineChars="0"/>
        <w:rPr>
          <w:rFonts w:hint="default"/>
          <w:lang w:val="en-US" w:eastAsia="zh-CN"/>
        </w:rPr>
      </w:pPr>
      <w:r>
        <w:rPr>
          <w:rFonts w:hint="eastAsia"/>
          <w:lang w:eastAsia="zh-CN"/>
        </w:rPr>
        <w:t>考虑数据采集的便利性和完整性，在优矿平台上，选取</w:t>
      </w:r>
      <w:r>
        <w:rPr>
          <w:rFonts w:hint="eastAsia"/>
        </w:rPr>
        <w:t>A股</w:t>
      </w:r>
      <w:r>
        <w:rPr>
          <w:rFonts w:hint="eastAsia"/>
          <w:lang w:eastAsia="zh-CN"/>
        </w:rPr>
        <w:t>公司</w:t>
      </w:r>
      <w:r>
        <w:rPr>
          <w:rFonts w:hint="eastAsia"/>
        </w:rPr>
        <w:t>2015</w:t>
      </w:r>
      <w:r>
        <w:rPr>
          <w:rFonts w:hint="eastAsia"/>
          <w:lang w:eastAsia="zh-CN"/>
        </w:rPr>
        <w:t>至</w:t>
      </w:r>
      <w:r>
        <w:rPr>
          <w:rFonts w:hint="eastAsia"/>
        </w:rPr>
        <w:t>2016年的数据作为</w:t>
      </w:r>
      <w:r>
        <w:rPr>
          <w:rFonts w:hint="eastAsia"/>
          <w:lang w:eastAsia="zh-CN"/>
        </w:rPr>
        <w:t>报告</w:t>
      </w:r>
      <w:r>
        <w:rPr>
          <w:rFonts w:hint="eastAsia"/>
        </w:rPr>
        <w:t>样本</w:t>
      </w:r>
      <w:r>
        <w:rPr>
          <w:rFonts w:hint="eastAsia"/>
          <w:lang w:eastAsia="zh-CN"/>
        </w:rPr>
        <w:t>（</w:t>
      </w:r>
      <w:r>
        <w:rPr>
          <w:rFonts w:hint="eastAsia"/>
        </w:rPr>
        <w:t>样本量分别为1204、1215</w:t>
      </w:r>
      <w:r>
        <w:rPr>
          <w:rFonts w:hint="eastAsia"/>
          <w:lang w:eastAsia="zh-CN"/>
        </w:rPr>
        <w:t>）。其中，以</w:t>
      </w:r>
      <w:r>
        <w:rPr>
          <w:rFonts w:hint="eastAsia"/>
          <w:lang w:val="en-US" w:eastAsia="zh-CN"/>
        </w:rPr>
        <w:t>2015年数据作为训练集，2016年数据作为测试集。</w:t>
      </w:r>
    </w:p>
    <w:p>
      <w:pPr>
        <w:spacing w:line="360" w:lineRule="auto"/>
        <w:ind w:firstLine="420" w:firstLineChars="0"/>
        <w:rPr>
          <w:rFonts w:hint="eastAsia"/>
        </w:rPr>
      </w:pPr>
      <w:r>
        <w:rPr>
          <w:rFonts w:hint="eastAsia"/>
          <w:lang w:eastAsia="zh-CN"/>
        </w:rPr>
        <w:t>考虑变量的解释性，以来年的</w:t>
      </w:r>
      <w:r>
        <w:rPr>
          <w:rFonts w:hint="eastAsia"/>
        </w:rPr>
        <w:t>净资产收益率</w:t>
      </w:r>
      <w:r>
        <w:rPr>
          <w:rFonts w:hint="eastAsia"/>
          <w:lang w:eastAsia="zh-CN"/>
        </w:rPr>
        <w:t>（</w:t>
      </w:r>
      <w:r>
        <w:rPr>
          <w:rFonts w:hint="eastAsia"/>
          <w:lang w:val="en-US" w:eastAsia="zh-CN"/>
        </w:rPr>
        <w:t>ROEf）为因变量，</w:t>
      </w:r>
      <w:r>
        <w:rPr>
          <w:rFonts w:hint="eastAsia"/>
        </w:rPr>
        <w:t>选取了下列财务指标作为自变量：</w:t>
      </w:r>
    </w:p>
    <w:p>
      <w:pPr>
        <w:numPr>
          <w:ilvl w:val="0"/>
          <w:numId w:val="1"/>
        </w:numPr>
        <w:spacing w:line="360" w:lineRule="auto"/>
        <w:ind w:left="420" w:leftChars="0" w:hanging="420" w:firstLineChars="0"/>
        <w:rPr>
          <w:rFonts w:hint="eastAsia"/>
        </w:rPr>
      </w:pPr>
      <w:r>
        <w:rPr>
          <w:rFonts w:hint="eastAsia"/>
        </w:rPr>
        <w:t>当年的净资产收益率（ROE）：反映当年公司盈利情况。可提出假设，公司当年盈利表现与来年的较为一致。</w:t>
      </w:r>
    </w:p>
    <w:p>
      <w:pPr>
        <w:numPr>
          <w:ilvl w:val="0"/>
          <w:numId w:val="1"/>
        </w:numPr>
        <w:spacing w:line="360" w:lineRule="auto"/>
        <w:ind w:left="420" w:leftChars="0" w:hanging="420" w:firstLineChars="0"/>
        <w:rPr>
          <w:rFonts w:hint="eastAsia"/>
        </w:rPr>
      </w:pPr>
      <w:r>
        <w:rPr>
          <w:rFonts w:hint="eastAsia"/>
        </w:rPr>
        <w:t>资产周转率（taTurnover）：反映企业资产管理效率；</w:t>
      </w:r>
    </w:p>
    <w:p>
      <w:pPr>
        <w:numPr>
          <w:ilvl w:val="0"/>
          <w:numId w:val="1"/>
        </w:numPr>
        <w:spacing w:line="360" w:lineRule="auto"/>
        <w:ind w:left="420" w:leftChars="0" w:hanging="420" w:firstLineChars="0"/>
        <w:rPr>
          <w:rFonts w:hint="eastAsia"/>
        </w:rPr>
      </w:pPr>
      <w:r>
        <w:rPr>
          <w:rFonts w:hint="eastAsia"/>
        </w:rPr>
        <w:t>营业利润/营业总收入（opTR）：衡量企业经营效率；</w:t>
      </w:r>
    </w:p>
    <w:p>
      <w:pPr>
        <w:numPr>
          <w:ilvl w:val="0"/>
          <w:numId w:val="1"/>
        </w:numPr>
        <w:spacing w:line="360" w:lineRule="auto"/>
        <w:ind w:left="420" w:leftChars="0" w:hanging="420" w:firstLineChars="0"/>
        <w:rPr>
          <w:rFonts w:hint="eastAsia"/>
        </w:rPr>
      </w:pPr>
      <w:r>
        <w:rPr>
          <w:rFonts w:hint="eastAsia"/>
        </w:rPr>
        <w:t>债务资本比率（lev）：反映企业长期偿债能力；</w:t>
      </w:r>
    </w:p>
    <w:p>
      <w:pPr>
        <w:numPr>
          <w:ilvl w:val="0"/>
          <w:numId w:val="1"/>
        </w:numPr>
        <w:spacing w:line="360" w:lineRule="auto"/>
        <w:ind w:left="420" w:leftChars="0" w:hanging="420" w:firstLineChars="0"/>
        <w:rPr>
          <w:rFonts w:hint="eastAsia"/>
        </w:rPr>
      </w:pPr>
      <w:r>
        <w:rPr>
          <w:rFonts w:hint="eastAsia"/>
        </w:rPr>
        <w:t>营业收入同比增长率（revenueYOY）：评价企业成长状况和发展能力；</w:t>
      </w:r>
    </w:p>
    <w:p>
      <w:pPr>
        <w:numPr>
          <w:ilvl w:val="0"/>
          <w:numId w:val="1"/>
        </w:numPr>
        <w:spacing w:line="360" w:lineRule="auto"/>
        <w:ind w:left="420" w:leftChars="0" w:hanging="420" w:firstLineChars="0"/>
        <w:rPr>
          <w:rFonts w:hint="eastAsia"/>
        </w:rPr>
      </w:pPr>
      <w:r>
        <w:rPr>
          <w:rFonts w:hint="eastAsia"/>
        </w:rPr>
        <w:t>市净率（PB）：反应公司净资产与市价的关系；</w:t>
      </w:r>
    </w:p>
    <w:p>
      <w:pPr>
        <w:numPr>
          <w:ilvl w:val="0"/>
          <w:numId w:val="1"/>
        </w:numPr>
        <w:spacing w:line="360" w:lineRule="auto"/>
        <w:ind w:left="420" w:leftChars="0" w:hanging="420" w:firstLineChars="0"/>
        <w:rPr>
          <w:rFonts w:hint="eastAsia"/>
        </w:rPr>
      </w:pPr>
      <w:r>
        <w:rPr>
          <w:rFonts w:hint="eastAsia"/>
        </w:rPr>
        <w:t>应收账款/营业收入（arR）：反映企业应收帐款投资效率；</w:t>
      </w:r>
    </w:p>
    <w:p>
      <w:pPr>
        <w:numPr>
          <w:ilvl w:val="0"/>
          <w:numId w:val="1"/>
        </w:numPr>
        <w:spacing w:line="360" w:lineRule="auto"/>
        <w:ind w:left="420" w:leftChars="0" w:hanging="420" w:firstLineChars="0"/>
        <w:rPr>
          <w:rFonts w:hint="eastAsia"/>
        </w:rPr>
      </w:pPr>
      <w:r>
        <w:rPr>
          <w:rFonts w:hint="eastAsia"/>
        </w:rPr>
        <w:t>存货/资产总计（inv）：反映企业的存货状况；</w:t>
      </w:r>
    </w:p>
    <w:p>
      <w:pPr>
        <w:numPr>
          <w:ilvl w:val="0"/>
          <w:numId w:val="1"/>
        </w:numPr>
        <w:spacing w:line="360" w:lineRule="auto"/>
        <w:ind w:left="420" w:leftChars="0" w:hanging="420" w:firstLineChars="0"/>
        <w:rPr>
          <w:rFonts w:hint="eastAsia"/>
        </w:rPr>
      </w:pPr>
      <w:r>
        <w:rPr>
          <w:rFonts w:hint="eastAsia"/>
        </w:rPr>
        <w:t>对数变换后的资产总计（logTAssets）：反映企业规模</w:t>
      </w:r>
      <w:r>
        <w:rPr>
          <w:rFonts w:hint="eastAsia"/>
          <w:lang w:eastAsia="zh-CN"/>
        </w:rPr>
        <w:t>。</w:t>
      </w:r>
    </w:p>
    <w:p>
      <w:pPr>
        <w:spacing w:line="360" w:lineRule="auto"/>
        <w:rPr>
          <w:rFonts w:hint="eastAsia"/>
        </w:rPr>
      </w:pPr>
    </w:p>
    <w:p>
      <w:pPr>
        <w:numPr>
          <w:ilvl w:val="0"/>
          <w:numId w:val="2"/>
        </w:numPr>
        <w:spacing w:line="360" w:lineRule="auto"/>
        <w:rPr>
          <w:rFonts w:hint="eastAsia"/>
          <w:b/>
          <w:bCs/>
          <w:sz w:val="24"/>
          <w:szCs w:val="32"/>
          <w:lang w:eastAsia="zh-CN"/>
        </w:rPr>
      </w:pPr>
      <w:r>
        <w:rPr>
          <w:rFonts w:hint="eastAsia"/>
          <w:b/>
          <w:bCs/>
          <w:sz w:val="24"/>
          <w:szCs w:val="32"/>
          <w:lang w:eastAsia="zh-CN"/>
        </w:rPr>
        <w:t>数据预处理</w:t>
      </w:r>
    </w:p>
    <w:p>
      <w:pPr>
        <w:spacing w:line="360" w:lineRule="auto"/>
        <w:ind w:firstLine="420" w:firstLineChars="0"/>
        <w:rPr>
          <w:rFonts w:hint="eastAsia"/>
          <w:lang w:eastAsia="zh-CN"/>
        </w:rPr>
      </w:pPr>
      <w:r>
        <w:rPr>
          <w:rFonts w:hint="eastAsia"/>
          <w:lang w:eastAsia="zh-CN"/>
        </w:rPr>
        <w:t>通过对原始数据的初步了解，采用下述方法对缺失值、异常值进行处理：</w:t>
      </w:r>
    </w:p>
    <w:p>
      <w:pPr>
        <w:numPr>
          <w:ilvl w:val="0"/>
          <w:numId w:val="3"/>
        </w:numPr>
        <w:spacing w:line="360" w:lineRule="auto"/>
        <w:ind w:left="420" w:leftChars="0" w:hanging="420" w:firstLineChars="0"/>
        <w:rPr>
          <w:rFonts w:hint="eastAsia"/>
          <w:lang w:eastAsia="zh-CN"/>
        </w:rPr>
      </w:pPr>
      <w:r>
        <w:rPr>
          <w:rFonts w:hint="eastAsia"/>
          <w:lang w:eastAsia="zh-CN"/>
        </w:rPr>
        <w:t>缺失值剔除：若变量或样本的缺失率大于等于缺失值阈值（</w:t>
      </w:r>
      <w:r>
        <w:rPr>
          <w:rFonts w:hint="eastAsia"/>
          <w:lang w:val="en-US" w:eastAsia="zh-CN"/>
        </w:rPr>
        <w:t>0.2）</w:t>
      </w:r>
      <w:r>
        <w:rPr>
          <w:rFonts w:hint="eastAsia"/>
          <w:lang w:eastAsia="zh-CN"/>
        </w:rPr>
        <w:t>，则剔除该特征或者样本；</w:t>
      </w:r>
    </w:p>
    <w:p>
      <w:pPr>
        <w:numPr>
          <w:ilvl w:val="0"/>
          <w:numId w:val="3"/>
        </w:numPr>
        <w:spacing w:line="360" w:lineRule="auto"/>
        <w:ind w:left="420" w:leftChars="0" w:hanging="420" w:firstLineChars="0"/>
        <w:rPr>
          <w:rFonts w:hint="eastAsia"/>
          <w:lang w:eastAsia="zh-CN"/>
        </w:rPr>
      </w:pPr>
      <w:r>
        <w:rPr>
          <w:rFonts w:hint="eastAsia"/>
          <w:lang w:eastAsia="zh-CN"/>
        </w:rPr>
        <w:t>缺失值填补：使用训练集对应的变量的中位数填补；</w:t>
      </w:r>
    </w:p>
    <w:p>
      <w:pPr>
        <w:numPr>
          <w:ilvl w:val="0"/>
          <w:numId w:val="3"/>
        </w:numPr>
        <w:spacing w:line="360" w:lineRule="auto"/>
        <w:ind w:left="420" w:leftChars="0" w:hanging="420" w:firstLineChars="0"/>
        <w:rPr>
          <w:rFonts w:hint="eastAsia"/>
          <w:lang w:eastAsia="zh-CN"/>
        </w:rPr>
      </w:pPr>
      <w:r>
        <w:rPr>
          <w:rFonts w:hint="eastAsia"/>
          <w:lang w:eastAsia="zh-CN"/>
        </w:rPr>
        <w:t>极值处理：使用分位数替换的方法进行极值处理（缩尾），即将大于百分位上限阈值（</w:t>
      </w:r>
      <w:r>
        <w:rPr>
          <w:rFonts w:hint="eastAsia"/>
          <w:lang w:val="en-US" w:eastAsia="zh-CN"/>
        </w:rPr>
        <w:t>97.5%）</w:t>
      </w:r>
      <w:r>
        <w:rPr>
          <w:rFonts w:hint="eastAsia"/>
          <w:lang w:eastAsia="zh-CN"/>
        </w:rPr>
        <w:t>和小于下限阈值（</w:t>
      </w:r>
      <w:r>
        <w:rPr>
          <w:rFonts w:hint="eastAsia"/>
          <w:lang w:val="en-US" w:eastAsia="zh-CN"/>
        </w:rPr>
        <w:t>2.5%）</w:t>
      </w:r>
      <w:r>
        <w:rPr>
          <w:rFonts w:hint="eastAsia"/>
          <w:lang w:eastAsia="zh-CN"/>
        </w:rPr>
        <w:t>的值，分别用相应的上下限百分位阈值替换。</w:t>
      </w:r>
    </w:p>
    <w:p>
      <w:pPr>
        <w:rPr>
          <w:rFonts w:hint="eastAsia"/>
          <w:lang w:eastAsia="zh-CN"/>
        </w:rPr>
      </w:pPr>
    </w:p>
    <w:p>
      <w:pPr>
        <w:numPr>
          <w:ilvl w:val="0"/>
          <w:numId w:val="2"/>
        </w:numPr>
        <w:spacing w:line="360" w:lineRule="auto"/>
        <w:ind w:left="0" w:leftChars="0" w:firstLine="0" w:firstLineChars="0"/>
        <w:rPr>
          <w:rFonts w:hint="eastAsia"/>
          <w:b/>
          <w:bCs/>
          <w:sz w:val="24"/>
          <w:szCs w:val="32"/>
          <w:lang w:eastAsia="zh-CN"/>
        </w:rPr>
      </w:pPr>
      <w:r>
        <w:rPr>
          <w:rFonts w:hint="eastAsia"/>
          <w:b/>
          <w:bCs/>
          <w:sz w:val="24"/>
          <w:szCs w:val="32"/>
          <w:lang w:eastAsia="zh-CN"/>
        </w:rPr>
        <w:t>描述性分析</w:t>
      </w:r>
    </w:p>
    <w:p>
      <w:pPr>
        <w:numPr>
          <w:ilvl w:val="0"/>
          <w:numId w:val="0"/>
        </w:numPr>
        <w:spacing w:line="360" w:lineRule="auto"/>
        <w:ind w:leftChars="0" w:firstLine="420" w:firstLineChars="0"/>
        <w:rPr>
          <w:rFonts w:hint="eastAsia"/>
          <w:b w:val="0"/>
          <w:bCs w:val="0"/>
          <w:sz w:val="21"/>
          <w:szCs w:val="24"/>
          <w:lang w:eastAsia="zh-CN"/>
        </w:rPr>
      </w:pPr>
      <w:r>
        <w:rPr>
          <w:rFonts w:hint="eastAsia"/>
          <w:b w:val="0"/>
          <w:bCs w:val="0"/>
          <w:sz w:val="21"/>
          <w:szCs w:val="24"/>
          <w:lang w:eastAsia="zh-CN"/>
        </w:rPr>
        <w:t>将分别从变量分布情况</w:t>
      </w:r>
      <w:r>
        <w:rPr>
          <w:rFonts w:hint="eastAsia"/>
          <w:b w:val="0"/>
          <w:bCs w:val="0"/>
          <w:sz w:val="21"/>
          <w:szCs w:val="24"/>
          <w:lang w:val="en-US" w:eastAsia="zh-CN"/>
        </w:rPr>
        <w:t>和变量间的关系</w:t>
      </w:r>
      <w:r>
        <w:rPr>
          <w:rFonts w:hint="eastAsia"/>
          <w:b w:val="0"/>
          <w:bCs w:val="0"/>
          <w:sz w:val="21"/>
          <w:szCs w:val="24"/>
          <w:lang w:eastAsia="zh-CN"/>
        </w:rPr>
        <w:t>来对变量有一个整体的印象。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变量分布情况</w:t>
      </w:r>
    </w:p>
    <w:p>
      <w:pPr>
        <w:numPr>
          <w:ilvl w:val="0"/>
          <w:numId w:val="0"/>
        </w:numPr>
        <w:spacing w:line="360" w:lineRule="auto"/>
        <w:ind w:firstLine="420" w:firstLineChars="0"/>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eastAsia="zh-CN"/>
        </w:rPr>
        <w:t>表</w:t>
      </w:r>
      <w:r>
        <w:rPr>
          <w:rFonts w:hint="eastAsia" w:ascii="宋体" w:hAnsi="宋体" w:eastAsia="宋体" w:cs="宋体"/>
          <w:b w:val="0"/>
          <w:bCs w:val="0"/>
          <w:sz w:val="21"/>
          <w:szCs w:val="24"/>
          <w:lang w:val="en-US" w:eastAsia="zh-CN"/>
        </w:rPr>
        <w:t>1、图1 分别是</w:t>
      </w:r>
      <w:r>
        <w:rPr>
          <w:rFonts w:hint="eastAsia" w:ascii="宋体" w:hAnsi="宋体" w:eastAsia="宋体" w:cs="宋体"/>
          <w:b w:val="0"/>
          <w:bCs w:val="0"/>
          <w:sz w:val="21"/>
          <w:szCs w:val="24"/>
          <w:lang w:eastAsia="zh-CN"/>
        </w:rPr>
        <w:t>通过基本统计值、</w:t>
      </w:r>
      <w:r>
        <w:rPr>
          <w:rFonts w:hint="eastAsia" w:ascii="宋体" w:hAnsi="宋体" w:eastAsia="宋体" w:cs="宋体"/>
          <w:b w:val="0"/>
          <w:bCs w:val="0"/>
          <w:sz w:val="21"/>
          <w:szCs w:val="24"/>
          <w:lang w:val="en-US" w:eastAsia="zh-CN"/>
        </w:rPr>
        <w:t>分布趋势图</w:t>
      </w:r>
      <w:r>
        <w:rPr>
          <w:rFonts w:hint="eastAsia" w:ascii="宋体" w:hAnsi="宋体" w:eastAsia="宋体" w:cs="宋体"/>
          <w:b w:val="0"/>
          <w:bCs w:val="0"/>
          <w:sz w:val="21"/>
          <w:szCs w:val="24"/>
          <w:lang w:eastAsia="zh-CN"/>
        </w:rPr>
        <w:t>对变量数据的集中度（均值、中位数）和离散度（最小值、最大值、标准差）</w:t>
      </w:r>
      <w:bookmarkStart w:id="0" w:name="_GoBack"/>
      <w:bookmarkEnd w:id="0"/>
      <w:r>
        <w:rPr>
          <w:rFonts w:hint="eastAsia" w:ascii="宋体" w:hAnsi="宋体" w:eastAsia="宋体" w:cs="宋体"/>
          <w:b w:val="0"/>
          <w:bCs w:val="0"/>
          <w:sz w:val="21"/>
          <w:szCs w:val="24"/>
          <w:lang w:eastAsia="zh-CN"/>
        </w:rPr>
        <w:t>和</w:t>
      </w:r>
      <w:r>
        <w:rPr>
          <w:rFonts w:hint="eastAsia" w:ascii="宋体" w:hAnsi="宋体" w:eastAsia="宋体" w:cs="宋体"/>
          <w:b w:val="0"/>
          <w:bCs w:val="0"/>
          <w:sz w:val="21"/>
          <w:szCs w:val="24"/>
          <w:lang w:val="en-US" w:eastAsia="zh-CN"/>
        </w:rPr>
        <w:t>分布稳定性进行描述。</w:t>
      </w:r>
    </w:p>
    <w:tbl>
      <w:tblPr>
        <w:tblStyle w:val="4"/>
        <w:tblW w:w="8241" w:type="dxa"/>
        <w:jc w:val="center"/>
        <w:tblInd w:w="0" w:type="dxa"/>
        <w:shd w:val="clear" w:color="auto" w:fill="auto"/>
        <w:tblLayout w:type="fixed"/>
        <w:tblCellMar>
          <w:top w:w="0" w:type="dxa"/>
          <w:left w:w="0" w:type="dxa"/>
          <w:bottom w:w="0" w:type="dxa"/>
          <w:right w:w="0" w:type="dxa"/>
        </w:tblCellMar>
      </w:tblPr>
      <w:tblGrid>
        <w:gridCol w:w="1373"/>
        <w:gridCol w:w="1373"/>
        <w:gridCol w:w="1373"/>
        <w:gridCol w:w="1373"/>
        <w:gridCol w:w="1373"/>
        <w:gridCol w:w="1376"/>
      </w:tblGrid>
      <w:tr>
        <w:tblPrEx>
          <w:shd w:val="clear" w:color="auto" w:fill="auto"/>
          <w:tblLayout w:type="fixed"/>
          <w:tblCellMar>
            <w:top w:w="0" w:type="dxa"/>
            <w:left w:w="0" w:type="dxa"/>
            <w:bottom w:w="0" w:type="dxa"/>
            <w:right w:w="0" w:type="dxa"/>
          </w:tblCellMar>
        </w:tblPrEx>
        <w:trPr>
          <w:trHeight w:val="285" w:hRule="atLeast"/>
          <w:jc w:val="center"/>
        </w:trPr>
        <w:tc>
          <w:tcPr>
            <w:tcW w:w="8241" w:type="dxa"/>
            <w:gridSpan w:val="6"/>
            <w:tcBorders>
              <w:top w:val="nil"/>
              <w:left w:val="nil"/>
              <w:bottom w:val="nil"/>
              <w:right w:val="nil"/>
            </w:tcBorders>
            <w:shd w:val="clear" w:color="auto" w:fill="FFFFFF"/>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57" w:beforeLines="5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表1 基本描述</w:t>
            </w:r>
          </w:p>
        </w:tc>
      </w:tr>
      <w:tr>
        <w:tblPrEx>
          <w:tblLayout w:type="fixed"/>
          <w:tblCellMar>
            <w:top w:w="0" w:type="dxa"/>
            <w:left w:w="0" w:type="dxa"/>
            <w:bottom w:w="0" w:type="dxa"/>
            <w:right w:w="0" w:type="dxa"/>
          </w:tblCellMar>
        </w:tblPrEx>
        <w:trPr>
          <w:trHeight w:val="285" w:hRule="atLeast"/>
          <w:jc w:val="center"/>
        </w:trPr>
        <w:tc>
          <w:tcPr>
            <w:tcW w:w="1373" w:type="dxa"/>
            <w:tcBorders>
              <w:top w:val="single" w:color="000000" w:sz="4" w:space="0"/>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变量名</w:t>
            </w:r>
          </w:p>
        </w:tc>
        <w:tc>
          <w:tcPr>
            <w:tcW w:w="1373" w:type="dxa"/>
            <w:tcBorders>
              <w:top w:val="single" w:color="000000" w:sz="4" w:space="0"/>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均值</w:t>
            </w:r>
          </w:p>
        </w:tc>
        <w:tc>
          <w:tcPr>
            <w:tcW w:w="1373" w:type="dxa"/>
            <w:tcBorders>
              <w:top w:val="single" w:color="000000" w:sz="4" w:space="0"/>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最小值</w:t>
            </w:r>
          </w:p>
        </w:tc>
        <w:tc>
          <w:tcPr>
            <w:tcW w:w="1373" w:type="dxa"/>
            <w:tcBorders>
              <w:top w:val="single" w:color="000000" w:sz="4" w:space="0"/>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中位数</w:t>
            </w:r>
          </w:p>
        </w:tc>
        <w:tc>
          <w:tcPr>
            <w:tcW w:w="1373" w:type="dxa"/>
            <w:tcBorders>
              <w:top w:val="single" w:color="000000" w:sz="4" w:space="0"/>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最大值</w:t>
            </w:r>
          </w:p>
        </w:tc>
        <w:tc>
          <w:tcPr>
            <w:tcW w:w="1376" w:type="dxa"/>
            <w:tcBorders>
              <w:top w:val="single" w:color="000000" w:sz="4" w:space="0"/>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标准差</w:t>
            </w:r>
          </w:p>
        </w:tc>
      </w:tr>
      <w:tr>
        <w:tblPrEx>
          <w:tblLayout w:type="fixed"/>
          <w:tblCellMar>
            <w:top w:w="0" w:type="dxa"/>
            <w:left w:w="0" w:type="dxa"/>
            <w:bottom w:w="0" w:type="dxa"/>
            <w:right w:w="0" w:type="dxa"/>
          </w:tblCellMar>
        </w:tblPrEx>
        <w:trPr>
          <w:trHeight w:val="285" w:hRule="atLeast"/>
          <w:jc w:val="center"/>
        </w:trPr>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PB</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6.312</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2.004</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5.155</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24.243</w:t>
            </w:r>
          </w:p>
        </w:tc>
        <w:tc>
          <w:tcPr>
            <w:tcW w:w="137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4.235</w:t>
            </w:r>
          </w:p>
        </w:tc>
      </w:tr>
      <w:tr>
        <w:tblPrEx>
          <w:tblLayout w:type="fixed"/>
          <w:tblCellMar>
            <w:top w:w="0" w:type="dxa"/>
            <w:left w:w="0" w:type="dxa"/>
            <w:bottom w:w="0" w:type="dxa"/>
            <w:right w:w="0" w:type="dxa"/>
          </w:tblCellMar>
        </w:tblPrEx>
        <w:trPr>
          <w:trHeight w:val="285" w:hRule="atLeast"/>
          <w:jc w:val="center"/>
        </w:trPr>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taTurnover</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0.559</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0.125</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0.483</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1.646</w:t>
            </w:r>
          </w:p>
        </w:tc>
        <w:tc>
          <w:tcPr>
            <w:tcW w:w="137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0.334</w:t>
            </w:r>
          </w:p>
        </w:tc>
      </w:tr>
      <w:tr>
        <w:tblPrEx>
          <w:tblLayout w:type="fixed"/>
          <w:tblCellMar>
            <w:top w:w="0" w:type="dxa"/>
            <w:left w:w="0" w:type="dxa"/>
            <w:bottom w:w="0" w:type="dxa"/>
            <w:right w:w="0" w:type="dxa"/>
          </w:tblCellMar>
        </w:tblPrEx>
        <w:trPr>
          <w:trHeight w:val="285" w:hRule="atLeast"/>
          <w:jc w:val="center"/>
        </w:trPr>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arR</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0.335</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0.007</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0.277</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1.105</w:t>
            </w:r>
          </w:p>
        </w:tc>
        <w:tc>
          <w:tcPr>
            <w:tcW w:w="137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0.263</w:t>
            </w:r>
          </w:p>
        </w:tc>
      </w:tr>
      <w:tr>
        <w:tblPrEx>
          <w:tblLayout w:type="fixed"/>
          <w:tblCellMar>
            <w:top w:w="0" w:type="dxa"/>
            <w:left w:w="0" w:type="dxa"/>
            <w:bottom w:w="0" w:type="dxa"/>
            <w:right w:w="0" w:type="dxa"/>
          </w:tblCellMar>
        </w:tblPrEx>
        <w:trPr>
          <w:trHeight w:val="285" w:hRule="atLeast"/>
          <w:jc w:val="center"/>
        </w:trPr>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logTAssets</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21.947</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20.205</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21.851</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24.269</w:t>
            </w:r>
          </w:p>
        </w:tc>
        <w:tc>
          <w:tcPr>
            <w:tcW w:w="137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0.940</w:t>
            </w:r>
          </w:p>
        </w:tc>
      </w:tr>
      <w:tr>
        <w:tblPrEx>
          <w:tblLayout w:type="fixed"/>
          <w:tblCellMar>
            <w:top w:w="0" w:type="dxa"/>
            <w:left w:w="0" w:type="dxa"/>
            <w:bottom w:w="0" w:type="dxa"/>
            <w:right w:w="0" w:type="dxa"/>
          </w:tblCellMar>
        </w:tblPrEx>
        <w:trPr>
          <w:trHeight w:val="285" w:hRule="atLeast"/>
          <w:jc w:val="center"/>
        </w:trPr>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lev</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0.378</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0.073</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0.363</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0.790</w:t>
            </w:r>
          </w:p>
        </w:tc>
        <w:tc>
          <w:tcPr>
            <w:tcW w:w="137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0.188</w:t>
            </w:r>
          </w:p>
        </w:tc>
      </w:tr>
      <w:tr>
        <w:tblPrEx>
          <w:tblLayout w:type="fixed"/>
          <w:tblCellMar>
            <w:top w:w="0" w:type="dxa"/>
            <w:left w:w="0" w:type="dxa"/>
            <w:bottom w:w="0" w:type="dxa"/>
            <w:right w:w="0" w:type="dxa"/>
          </w:tblCellMar>
        </w:tblPrEx>
        <w:trPr>
          <w:trHeight w:val="285" w:hRule="atLeast"/>
          <w:jc w:val="center"/>
        </w:trPr>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ROEf</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0.066</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-0.159</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0.063</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0.237</w:t>
            </w:r>
          </w:p>
        </w:tc>
        <w:tc>
          <w:tcPr>
            <w:tcW w:w="137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0.074</w:t>
            </w:r>
          </w:p>
        </w:tc>
      </w:tr>
      <w:tr>
        <w:tblPrEx>
          <w:tblLayout w:type="fixed"/>
          <w:tblCellMar>
            <w:top w:w="0" w:type="dxa"/>
            <w:left w:w="0" w:type="dxa"/>
            <w:bottom w:w="0" w:type="dxa"/>
            <w:right w:w="0" w:type="dxa"/>
          </w:tblCellMar>
        </w:tblPrEx>
        <w:trPr>
          <w:trHeight w:val="285" w:hRule="atLeast"/>
          <w:jc w:val="center"/>
        </w:trPr>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inv</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0.125</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0.002</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0.103</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0.485</w:t>
            </w:r>
          </w:p>
        </w:tc>
        <w:tc>
          <w:tcPr>
            <w:tcW w:w="137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0.100</w:t>
            </w:r>
          </w:p>
        </w:tc>
      </w:tr>
      <w:tr>
        <w:tblPrEx>
          <w:tblLayout w:type="fixed"/>
          <w:tblCellMar>
            <w:top w:w="0" w:type="dxa"/>
            <w:left w:w="0" w:type="dxa"/>
            <w:bottom w:w="0" w:type="dxa"/>
            <w:right w:w="0" w:type="dxa"/>
          </w:tblCellMar>
        </w:tblPrEx>
        <w:trPr>
          <w:trHeight w:val="285" w:hRule="atLeast"/>
          <w:jc w:val="center"/>
        </w:trPr>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revenueYOY</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0.210</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-0.352</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0.114</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1.705</w:t>
            </w:r>
          </w:p>
        </w:tc>
        <w:tc>
          <w:tcPr>
            <w:tcW w:w="137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0.412</w:t>
            </w:r>
          </w:p>
        </w:tc>
      </w:tr>
      <w:tr>
        <w:tblPrEx>
          <w:tblLayout w:type="fixed"/>
          <w:tblCellMar>
            <w:top w:w="0" w:type="dxa"/>
            <w:left w:w="0" w:type="dxa"/>
            <w:bottom w:w="0" w:type="dxa"/>
            <w:right w:w="0" w:type="dxa"/>
          </w:tblCellMar>
        </w:tblPrEx>
        <w:trPr>
          <w:trHeight w:val="285" w:hRule="atLeast"/>
          <w:jc w:val="center"/>
        </w:trPr>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ROE</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0.061</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-0.210</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0.061</w:t>
            </w:r>
          </w:p>
        </w:tc>
        <w:tc>
          <w:tcPr>
            <w:tcW w:w="13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0.219</w:t>
            </w:r>
          </w:p>
        </w:tc>
        <w:tc>
          <w:tcPr>
            <w:tcW w:w="137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FF0000"/>
                <w:sz w:val="18"/>
                <w:szCs w:val="18"/>
                <w:u w:val="none"/>
              </w:rPr>
            </w:pPr>
            <w:r>
              <w:rPr>
                <w:rFonts w:hint="eastAsia" w:ascii="宋体" w:hAnsi="宋体" w:eastAsia="宋体" w:cs="宋体"/>
                <w:i w:val="0"/>
                <w:color w:val="FF0000"/>
                <w:kern w:val="0"/>
                <w:sz w:val="18"/>
                <w:szCs w:val="18"/>
                <w:u w:val="none"/>
                <w:lang w:val="en-US" w:eastAsia="zh-CN" w:bidi="ar"/>
              </w:rPr>
              <w:t>0.078</w:t>
            </w:r>
          </w:p>
        </w:tc>
      </w:tr>
      <w:tr>
        <w:tblPrEx>
          <w:tblLayout w:type="fixed"/>
          <w:tblCellMar>
            <w:top w:w="0" w:type="dxa"/>
            <w:left w:w="0" w:type="dxa"/>
            <w:bottom w:w="0" w:type="dxa"/>
            <w:right w:w="0" w:type="dxa"/>
          </w:tblCellMar>
        </w:tblPrEx>
        <w:trPr>
          <w:trHeight w:val="285" w:hRule="atLeast"/>
          <w:jc w:val="center"/>
        </w:trPr>
        <w:tc>
          <w:tcPr>
            <w:tcW w:w="1373" w:type="dxa"/>
            <w:tcBorders>
              <w:top w:val="nil"/>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opTR</w:t>
            </w:r>
          </w:p>
        </w:tc>
        <w:tc>
          <w:tcPr>
            <w:tcW w:w="1373" w:type="dxa"/>
            <w:tcBorders>
              <w:top w:val="nil"/>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0.082</w:t>
            </w:r>
          </w:p>
        </w:tc>
        <w:tc>
          <w:tcPr>
            <w:tcW w:w="1373" w:type="dxa"/>
            <w:tcBorders>
              <w:top w:val="nil"/>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-0.421</w:t>
            </w:r>
          </w:p>
        </w:tc>
        <w:tc>
          <w:tcPr>
            <w:tcW w:w="1373" w:type="dxa"/>
            <w:tcBorders>
              <w:top w:val="nil"/>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0.082</w:t>
            </w:r>
          </w:p>
        </w:tc>
        <w:tc>
          <w:tcPr>
            <w:tcW w:w="1373" w:type="dxa"/>
            <w:tcBorders>
              <w:top w:val="nil"/>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0.379</w:t>
            </w:r>
          </w:p>
        </w:tc>
        <w:tc>
          <w:tcPr>
            <w:tcW w:w="1376" w:type="dxa"/>
            <w:tcBorders>
              <w:top w:val="nil"/>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0.142</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center"/>
        <w:textAlignment w:val="auto"/>
        <w:rPr>
          <w:rFonts w:hint="eastAsia" w:ascii="宋体" w:hAnsi="宋体" w:eastAsia="宋体" w:cs="宋体"/>
          <w:b/>
          <w:i w:val="0"/>
          <w:color w:val="000000"/>
          <w:kern w:val="0"/>
          <w:sz w:val="18"/>
          <w:szCs w:val="18"/>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center"/>
        <w:textAlignment w:val="auto"/>
        <w:rPr>
          <w:rFonts w:hint="eastAsia" w:ascii="宋体" w:hAnsi="宋体" w:eastAsia="宋体" w:cs="宋体"/>
          <w:b w:val="0"/>
          <w:bCs w:val="0"/>
          <w:sz w:val="21"/>
          <w:szCs w:val="24"/>
          <w:lang w:eastAsia="zh-CN"/>
        </w:rPr>
      </w:pPr>
      <w:r>
        <w:rPr>
          <w:rFonts w:hint="eastAsia" w:ascii="宋体" w:hAnsi="宋体" w:eastAsia="宋体" w:cs="宋体"/>
          <w:b/>
          <w:i w:val="0"/>
          <w:color w:val="000000"/>
          <w:kern w:val="0"/>
          <w:sz w:val="18"/>
          <w:szCs w:val="18"/>
          <w:u w:val="none"/>
          <w:lang w:val="en-US" w:eastAsia="zh-CN" w:bidi="ar"/>
        </w:rPr>
        <w:t>图1 单变量分布情况</w:t>
      </w:r>
      <w:r>
        <w:rPr>
          <w:rFonts w:hint="eastAsia"/>
          <w:b w:val="0"/>
          <w:bCs w:val="0"/>
          <w:sz w:val="21"/>
          <w:szCs w:val="24"/>
          <w:lang w:eastAsia="zh-CN"/>
        </w:rPr>
        <w:drawing>
          <wp:inline distT="0" distB="0" distL="114300" distR="114300">
            <wp:extent cx="5191760" cy="4140200"/>
            <wp:effectExtent l="0" t="0" r="8890" b="12700"/>
            <wp:docPr id="7" name="图片 7" descr="1B1B5ESRYN{U(28VBW5H4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B1B5ESRYN{U(28VBW5H4W1"/>
                    <pic:cNvPicPr>
                      <a:picLocks noChangeAspect="1"/>
                    </pic:cNvPicPr>
                  </pic:nvPicPr>
                  <pic:blipFill>
                    <a:blip r:embed="rId4"/>
                    <a:stretch>
                      <a:fillRect/>
                    </a:stretch>
                  </pic:blipFill>
                  <pic:spPr>
                    <a:xfrm>
                      <a:off x="0" y="0"/>
                      <a:ext cx="5191760" cy="4140200"/>
                    </a:xfrm>
                    <a:prstGeom prst="rect">
                      <a:avLst/>
                    </a:prstGeom>
                  </pic:spPr>
                </pic:pic>
              </a:graphicData>
            </a:graphic>
          </wp:inline>
        </w:drawing>
      </w:r>
    </w:p>
    <w:p>
      <w:pPr>
        <w:numPr>
          <w:ilvl w:val="0"/>
          <w:numId w:val="0"/>
        </w:numPr>
        <w:spacing w:line="360" w:lineRule="auto"/>
        <w:ind w:firstLine="420" w:firstLineChars="0"/>
        <w:rPr>
          <w:rFonts w:hint="default" w:ascii="宋体" w:hAnsi="宋体" w:eastAsia="宋体" w:cs="宋体"/>
          <w:b w:val="0"/>
          <w:bCs w:val="0"/>
          <w:sz w:val="21"/>
          <w:szCs w:val="24"/>
          <w:lang w:val="en-US" w:eastAsia="zh-CN"/>
        </w:rPr>
      </w:pPr>
      <w:r>
        <w:rPr>
          <w:rFonts w:hint="eastAsia" w:ascii="宋体" w:hAnsi="宋体" w:eastAsia="宋体" w:cs="宋体"/>
          <w:b w:val="0"/>
          <w:bCs w:val="0"/>
          <w:sz w:val="21"/>
          <w:szCs w:val="24"/>
          <w:lang w:eastAsia="zh-CN"/>
        </w:rPr>
        <w:t>从上述</w:t>
      </w:r>
      <w:r>
        <w:rPr>
          <w:rFonts w:hint="eastAsia" w:ascii="宋体" w:hAnsi="宋体" w:eastAsia="宋体" w:cs="宋体"/>
          <w:b w:val="0"/>
          <w:bCs w:val="0"/>
          <w:sz w:val="21"/>
          <w:szCs w:val="24"/>
          <w:lang w:val="en-US" w:eastAsia="zh-CN"/>
        </w:rPr>
        <w:t>可以看出：</w:t>
      </w:r>
    </w:p>
    <w:p>
      <w:pPr>
        <w:numPr>
          <w:ilvl w:val="0"/>
          <w:numId w:val="5"/>
        </w:numPr>
        <w:spacing w:line="360" w:lineRule="auto"/>
        <w:ind w:left="420" w:leftChars="0" w:hanging="420" w:firstLineChars="0"/>
        <w:rPr>
          <w:rFonts w:hint="eastAsia" w:ascii="宋体" w:hAnsi="宋体" w:eastAsia="宋体" w:cs="宋体"/>
          <w:b w:val="0"/>
          <w:bCs w:val="0"/>
          <w:sz w:val="21"/>
          <w:szCs w:val="24"/>
          <w:lang w:eastAsia="zh-CN"/>
        </w:rPr>
      </w:pPr>
      <w:r>
        <w:rPr>
          <w:rFonts w:hint="eastAsia"/>
          <w:b/>
          <w:bCs/>
          <w:sz w:val="21"/>
          <w:szCs w:val="24"/>
          <w:highlight w:val="none"/>
          <w:lang w:eastAsia="zh-CN"/>
        </w:rPr>
        <w:t>因变量</w:t>
      </w:r>
      <w:r>
        <w:rPr>
          <w:rFonts w:hint="eastAsia"/>
          <w:b/>
          <w:bCs/>
          <w:sz w:val="21"/>
          <w:szCs w:val="24"/>
          <w:highlight w:val="none"/>
          <w:lang w:val="en-US" w:eastAsia="zh-CN"/>
        </w:rPr>
        <w:tab/>
      </w:r>
      <w:r>
        <w:rPr>
          <w:rFonts w:hint="eastAsia"/>
          <w:b w:val="0"/>
          <w:bCs w:val="0"/>
          <w:sz w:val="21"/>
          <w:szCs w:val="24"/>
          <w:highlight w:val="none"/>
          <w:lang w:eastAsia="zh-CN"/>
        </w:rPr>
        <w:t>公司当年的净资产收益率（</w:t>
      </w:r>
      <w:r>
        <w:rPr>
          <w:rFonts w:hint="eastAsia"/>
          <w:b w:val="0"/>
          <w:bCs w:val="0"/>
          <w:sz w:val="21"/>
          <w:szCs w:val="24"/>
          <w:highlight w:val="none"/>
          <w:lang w:val="en-US" w:eastAsia="zh-CN"/>
        </w:rPr>
        <w:t>ROE）介于-21.0%和21.9%之间，平均水平为6.1%，标准差为7.8%；公司下一年度的净资产收益率（ROEf）介于-15.9%和23.7%之间，平均水平为6.6%（平均数）和6.3%（中位数），标准差为7.4%。从分布图上来看，大部分公司有正的</w:t>
      </w:r>
      <w:r>
        <w:rPr>
          <w:rFonts w:hint="eastAsia"/>
          <w:b w:val="0"/>
          <w:bCs w:val="0"/>
          <w:sz w:val="21"/>
          <w:szCs w:val="24"/>
          <w:highlight w:val="none"/>
          <w:lang w:eastAsia="zh-CN"/>
        </w:rPr>
        <w:t>净资产收益率（</w:t>
      </w:r>
      <w:r>
        <w:rPr>
          <w:rFonts w:hint="eastAsia"/>
          <w:b w:val="0"/>
          <w:bCs w:val="0"/>
          <w:sz w:val="21"/>
          <w:szCs w:val="24"/>
          <w:highlight w:val="none"/>
          <w:lang w:val="en-US" w:eastAsia="zh-CN"/>
        </w:rPr>
        <w:t>ROE）；同当年相比，公司下一年度的净资产收益率（ROEf）稍有增长，且不同公司间的差异略有缩小。</w:t>
      </w:r>
    </w:p>
    <w:p>
      <w:pPr>
        <w:numPr>
          <w:ilvl w:val="0"/>
          <w:numId w:val="5"/>
        </w:numPr>
        <w:spacing w:line="360" w:lineRule="auto"/>
        <w:ind w:left="420" w:leftChars="0" w:hanging="420" w:firstLineChars="0"/>
        <w:rPr>
          <w:rFonts w:hint="eastAsia"/>
          <w:b w:val="0"/>
          <w:bCs w:val="0"/>
          <w:sz w:val="21"/>
          <w:szCs w:val="24"/>
          <w:highlight w:val="none"/>
          <w:lang w:val="en-US" w:eastAsia="zh-CN"/>
        </w:rPr>
      </w:pPr>
      <w:r>
        <w:rPr>
          <w:rFonts w:hint="eastAsia"/>
          <w:b/>
          <w:bCs/>
          <w:sz w:val="21"/>
          <w:szCs w:val="24"/>
          <w:highlight w:val="none"/>
          <w:lang w:val="en-US" w:eastAsia="zh-CN"/>
        </w:rPr>
        <w:t>自变量</w:t>
      </w:r>
      <w:r>
        <w:rPr>
          <w:rFonts w:hint="eastAsia"/>
          <w:b/>
          <w:bCs/>
          <w:sz w:val="21"/>
          <w:szCs w:val="24"/>
          <w:highlight w:val="none"/>
          <w:lang w:val="en-US" w:eastAsia="zh-CN"/>
        </w:rPr>
        <w:tab/>
      </w:r>
      <w:r>
        <w:rPr>
          <w:rFonts w:hint="eastAsia"/>
          <w:b w:val="0"/>
          <w:bCs w:val="0"/>
          <w:sz w:val="21"/>
          <w:szCs w:val="24"/>
          <w:highlight w:val="none"/>
          <w:lang w:val="en-US" w:eastAsia="zh-CN"/>
        </w:rPr>
        <w:t>从市净率（PB）的均值（6.3）和标准差（4.2）可以看出，市场认为大部分公司具有良好的发展空间，但公司间的差异较大，且易受市场因素影响；资产周转率（taTurnover）的均值（0.56）和标准差（0.33）从侧面反映了大多数公司资产的平均利用水平；</w:t>
      </w:r>
      <w:r>
        <w:rPr>
          <w:rFonts w:hint="eastAsia"/>
          <w:b w:val="0"/>
          <w:bCs w:val="0"/>
          <w:sz w:val="21"/>
          <w:szCs w:val="24"/>
          <w:highlight w:val="none"/>
          <w:lang w:eastAsia="zh-CN"/>
        </w:rPr>
        <w:t>应收账款/营业收入（</w:t>
      </w:r>
      <w:r>
        <w:rPr>
          <w:rFonts w:hint="eastAsia"/>
          <w:b w:val="0"/>
          <w:bCs w:val="0"/>
          <w:sz w:val="21"/>
          <w:szCs w:val="24"/>
          <w:highlight w:val="none"/>
          <w:lang w:val="en-US" w:eastAsia="zh-CN"/>
        </w:rPr>
        <w:t>arR）的均值（0.34）和标准差（0.26）可反映出，在相当多的公司的营业收入中应收账款占比较大；对数变化后的资产总计（logTAssets）有较大的取值范围（从20.21到24.27），说明不同的公司在资产规模上的差距较大；值得注意的是，债务资本比率（lev）有较大的取值范围（从0.07到0.79），这表明不同公司间的债务水平差别较大；从存货/资产总计（inv）的均值（0.13）、标准差（0.10）以及取值范围（从0.00到0.49）来看，大部分公司对存货的控制力度较强，以避免出现高存货率的现象；营业收入同比增长率（revenueYOY）的有较大的取值范围（从-35%到171%），表明了各个公司所处的发展阶段呈现出了多样化现象；营业利润/营业总收入（opTR）的均值（0.08）和标准差（0.14）则反映出了大部分公司的盈利水平。</w:t>
      </w:r>
    </w:p>
    <w:p>
      <w:pPr>
        <w:numPr>
          <w:ilvl w:val="0"/>
          <w:numId w:val="5"/>
        </w:numPr>
        <w:spacing w:line="360" w:lineRule="auto"/>
        <w:ind w:left="420" w:leftChars="0" w:hanging="420" w:firstLineChars="0"/>
        <w:rPr>
          <w:rFonts w:hint="eastAsia"/>
          <w:b w:val="0"/>
          <w:bCs w:val="0"/>
          <w:sz w:val="21"/>
          <w:szCs w:val="24"/>
          <w:lang w:val="en-US" w:eastAsia="zh-CN"/>
        </w:rPr>
      </w:pPr>
      <w:r>
        <w:rPr>
          <w:rFonts w:hint="eastAsia"/>
          <w:b/>
          <w:bCs/>
          <w:sz w:val="21"/>
          <w:szCs w:val="24"/>
          <w:highlight w:val="none"/>
          <w:lang w:val="en-US" w:eastAsia="zh-CN"/>
        </w:rPr>
        <w:t xml:space="preserve">其他  </w:t>
      </w:r>
      <w:r>
        <w:rPr>
          <w:rFonts w:hint="eastAsia"/>
          <w:b w:val="0"/>
          <w:bCs w:val="0"/>
          <w:sz w:val="21"/>
          <w:szCs w:val="24"/>
          <w:highlight w:val="none"/>
          <w:lang w:val="en-US" w:eastAsia="zh-CN"/>
        </w:rPr>
        <w:t>大部分变量分布趋势呈现出多波峰现象，进一步说明公司间的差异性。</w:t>
      </w:r>
    </w:p>
    <w:p>
      <w:pPr>
        <w:numPr>
          <w:numId w:val="0"/>
        </w:numPr>
        <w:spacing w:line="360" w:lineRule="auto"/>
        <w:ind w:leftChars="0"/>
        <w:rPr>
          <w:rFonts w:hint="eastAsia"/>
          <w:b w:val="0"/>
          <w:bCs w:val="0"/>
          <w:sz w:val="21"/>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1"/>
          <w:szCs w:val="24"/>
          <w:lang w:eastAsia="zh-CN"/>
        </w:rPr>
      </w:pPr>
      <w:r>
        <w:rPr>
          <w:rFonts w:hint="eastAsia" w:ascii="宋体" w:hAnsi="宋体" w:eastAsia="宋体" w:cs="宋体"/>
          <w:b/>
          <w:bCs/>
          <w:sz w:val="21"/>
          <w:szCs w:val="24"/>
          <w:lang w:eastAsia="zh-CN"/>
        </w:rPr>
        <w:t>变量间关系</w:t>
      </w:r>
    </w:p>
    <w:p>
      <w:pPr>
        <w:numPr>
          <w:ilvl w:val="0"/>
          <w:numId w:val="0"/>
        </w:numPr>
        <w:spacing w:line="360" w:lineRule="auto"/>
        <w:ind w:leftChars="0" w:firstLine="420" w:firstLineChars="0"/>
        <w:rPr>
          <w:rFonts w:hint="default"/>
          <w:b w:val="0"/>
          <w:bCs w:val="0"/>
          <w:sz w:val="21"/>
          <w:szCs w:val="24"/>
          <w:highlight w:val="none"/>
          <w:lang w:val="en-US" w:eastAsia="zh-CN"/>
        </w:rPr>
      </w:pPr>
      <w:r>
        <w:rPr>
          <w:rFonts w:hint="eastAsia"/>
          <w:b w:val="0"/>
          <w:bCs w:val="0"/>
          <w:sz w:val="21"/>
          <w:szCs w:val="24"/>
          <w:highlight w:val="none"/>
          <w:lang w:val="en-US" w:eastAsia="zh-CN"/>
        </w:rPr>
        <w:t>图2和图3分别通过相关性分析、散点图进一步描述变量间的相互关系。</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center"/>
        <w:textAlignment w:val="auto"/>
        <w:rPr>
          <w:rFonts w:hint="default"/>
          <w:b/>
          <w:bCs/>
          <w:sz w:val="18"/>
          <w:szCs w:val="18"/>
          <w:highlight w:val="none"/>
          <w:lang w:val="en-US" w:eastAsia="zh-CN"/>
        </w:rPr>
      </w:pPr>
      <w:r>
        <w:rPr>
          <w:rFonts w:hint="eastAsia"/>
          <w:b/>
          <w:bCs/>
          <w:sz w:val="18"/>
          <w:szCs w:val="18"/>
          <w:highlight w:val="none"/>
          <w:lang w:eastAsia="zh-CN"/>
        </w:rPr>
        <w:t>图</w:t>
      </w:r>
      <w:r>
        <w:rPr>
          <w:rFonts w:hint="eastAsia"/>
          <w:b/>
          <w:bCs/>
          <w:sz w:val="18"/>
          <w:szCs w:val="18"/>
          <w:highlight w:val="none"/>
          <w:lang w:val="en-US" w:eastAsia="zh-CN"/>
        </w:rPr>
        <w:t xml:space="preserve">2 </w:t>
      </w:r>
      <w:r>
        <w:rPr>
          <w:rFonts w:hint="eastAsia"/>
          <w:b/>
          <w:bCs/>
          <w:sz w:val="18"/>
          <w:szCs w:val="18"/>
          <w:highlight w:val="none"/>
          <w:lang w:eastAsia="zh-CN"/>
        </w:rPr>
        <w:t>变量间的相关性</w:t>
      </w:r>
    </w:p>
    <w:p>
      <w:pPr>
        <w:numPr>
          <w:ilvl w:val="0"/>
          <w:numId w:val="0"/>
        </w:numPr>
        <w:spacing w:line="360" w:lineRule="auto"/>
        <w:jc w:val="center"/>
        <w:rPr>
          <w:rFonts w:hint="eastAsia" w:ascii="宋体" w:hAnsi="宋体" w:eastAsia="宋体" w:cs="宋体"/>
          <w:b/>
          <w:bCs/>
          <w:sz w:val="21"/>
          <w:szCs w:val="24"/>
          <w:lang w:eastAsia="zh-CN"/>
        </w:rPr>
      </w:pPr>
      <w:r>
        <w:rPr>
          <w:rFonts w:hint="eastAsia"/>
          <w:lang w:eastAsia="zh-CN"/>
        </w:rPr>
        <w:drawing>
          <wp:inline distT="0" distB="0" distL="114300" distR="114300">
            <wp:extent cx="5050790" cy="4500245"/>
            <wp:effectExtent l="0" t="0" r="16510" b="14605"/>
            <wp:docPr id="5" name="图片 5" descr="DL1%W]CCM(5`}T1QP%2}0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L1%W]CCM(5`}T1QP%2}01X"/>
                    <pic:cNvPicPr>
                      <a:picLocks noChangeAspect="1"/>
                    </pic:cNvPicPr>
                  </pic:nvPicPr>
                  <pic:blipFill>
                    <a:blip r:embed="rId5"/>
                    <a:stretch>
                      <a:fillRect/>
                    </a:stretch>
                  </pic:blipFill>
                  <pic:spPr>
                    <a:xfrm>
                      <a:off x="0" y="0"/>
                      <a:ext cx="5050790" cy="4500245"/>
                    </a:xfrm>
                    <a:prstGeom prst="rect">
                      <a:avLst/>
                    </a:prstGeom>
                  </pic:spPr>
                </pic:pic>
              </a:graphicData>
            </a:graphic>
          </wp:inline>
        </w:drawing>
      </w:r>
    </w:p>
    <w:p>
      <w:pPr>
        <w:numPr>
          <w:ilvl w:val="0"/>
          <w:numId w:val="0"/>
        </w:numPr>
        <w:spacing w:line="360" w:lineRule="auto"/>
        <w:jc w:val="center"/>
        <w:rPr>
          <w:rFonts w:hint="eastAsia"/>
          <w:b/>
          <w:bCs/>
          <w:sz w:val="18"/>
          <w:szCs w:val="18"/>
          <w:highlight w:val="none"/>
          <w:lang w:eastAsia="zh-CN"/>
        </w:rPr>
      </w:pPr>
    </w:p>
    <w:p>
      <w:pPr>
        <w:numPr>
          <w:ilvl w:val="0"/>
          <w:numId w:val="0"/>
        </w:numPr>
        <w:spacing w:line="360" w:lineRule="auto"/>
        <w:jc w:val="center"/>
        <w:rPr>
          <w:rFonts w:hint="eastAsia"/>
          <w:b/>
          <w:bCs/>
          <w:sz w:val="18"/>
          <w:szCs w:val="18"/>
          <w:highlight w:val="none"/>
          <w:lang w:eastAsia="zh-CN"/>
        </w:rPr>
      </w:pPr>
    </w:p>
    <w:p>
      <w:pPr>
        <w:numPr>
          <w:ilvl w:val="0"/>
          <w:numId w:val="0"/>
        </w:numPr>
        <w:spacing w:line="360" w:lineRule="auto"/>
        <w:jc w:val="both"/>
        <w:rPr>
          <w:rFonts w:hint="eastAsia"/>
          <w:b/>
          <w:bCs/>
          <w:sz w:val="18"/>
          <w:szCs w:val="18"/>
          <w:highlight w:val="none"/>
          <w:lang w:eastAsia="zh-CN"/>
        </w:rPr>
      </w:pPr>
    </w:p>
    <w:p>
      <w:pPr>
        <w:numPr>
          <w:ilvl w:val="0"/>
          <w:numId w:val="0"/>
        </w:numPr>
        <w:spacing w:line="360" w:lineRule="auto"/>
        <w:jc w:val="center"/>
        <w:rPr>
          <w:rFonts w:hint="eastAsia"/>
          <w:b/>
          <w:bCs/>
          <w:sz w:val="18"/>
          <w:szCs w:val="18"/>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center"/>
        <w:textAlignment w:val="auto"/>
        <w:rPr>
          <w:rFonts w:hint="eastAsia"/>
          <w:b/>
          <w:bCs/>
          <w:sz w:val="18"/>
          <w:szCs w:val="18"/>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center"/>
        <w:textAlignment w:val="auto"/>
        <w:rPr>
          <w:rFonts w:hint="eastAsia"/>
          <w:b/>
          <w:bCs/>
          <w:sz w:val="18"/>
          <w:szCs w:val="18"/>
          <w:highlight w:val="none"/>
          <w:lang w:eastAsia="zh-CN"/>
        </w:rPr>
      </w:pPr>
      <w:r>
        <w:rPr>
          <w:rFonts w:hint="eastAsia"/>
          <w:b/>
          <w:bCs/>
          <w:sz w:val="18"/>
          <w:szCs w:val="18"/>
          <w:highlight w:val="none"/>
          <w:lang w:eastAsia="zh-CN"/>
        </w:rPr>
        <w:t>图</w:t>
      </w:r>
      <w:r>
        <w:rPr>
          <w:rFonts w:hint="eastAsia"/>
          <w:b/>
          <w:bCs/>
          <w:sz w:val="18"/>
          <w:szCs w:val="18"/>
          <w:highlight w:val="none"/>
          <w:lang w:val="en-US" w:eastAsia="zh-CN"/>
        </w:rPr>
        <w:t xml:space="preserve">3 </w:t>
      </w:r>
      <w:r>
        <w:rPr>
          <w:rFonts w:hint="eastAsia"/>
          <w:b/>
          <w:bCs/>
          <w:sz w:val="18"/>
          <w:szCs w:val="18"/>
          <w:highlight w:val="none"/>
          <w:lang w:eastAsia="zh-CN"/>
        </w:rPr>
        <w:t>自变量与因变量关系</w:t>
      </w:r>
    </w:p>
    <w:p>
      <w:pPr>
        <w:numPr>
          <w:ilvl w:val="0"/>
          <w:numId w:val="0"/>
        </w:numPr>
        <w:spacing w:line="360" w:lineRule="auto"/>
        <w:jc w:val="center"/>
        <w:rPr>
          <w:rFonts w:hint="eastAsia" w:eastAsiaTheme="minorEastAsia"/>
          <w:lang w:eastAsia="zh-CN"/>
        </w:rPr>
      </w:pPr>
      <w:r>
        <w:rPr>
          <w:rFonts w:hint="eastAsia" w:eastAsiaTheme="minorEastAsia"/>
          <w:lang w:eastAsia="zh-CN"/>
        </w:rPr>
        <w:drawing>
          <wp:inline distT="0" distB="0" distL="114300" distR="114300">
            <wp:extent cx="5211445" cy="4175760"/>
            <wp:effectExtent l="0" t="0" r="8255" b="15240"/>
            <wp:docPr id="4" name="图片 4" descr="4AHS}QRO4})T5VB7U2(]~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AHS}QRO4})T5VB7U2(]~QG"/>
                    <pic:cNvPicPr>
                      <a:picLocks noChangeAspect="1"/>
                    </pic:cNvPicPr>
                  </pic:nvPicPr>
                  <pic:blipFill>
                    <a:blip r:embed="rId6"/>
                    <a:stretch>
                      <a:fillRect/>
                    </a:stretch>
                  </pic:blipFill>
                  <pic:spPr>
                    <a:xfrm>
                      <a:off x="0" y="0"/>
                      <a:ext cx="5211445" cy="4175760"/>
                    </a:xfrm>
                    <a:prstGeom prst="rect">
                      <a:avLst/>
                    </a:prstGeom>
                  </pic:spPr>
                </pic:pic>
              </a:graphicData>
            </a:graphic>
          </wp:inline>
        </w:drawing>
      </w:r>
    </w:p>
    <w:p>
      <w:pPr>
        <w:numPr>
          <w:ilvl w:val="0"/>
          <w:numId w:val="0"/>
        </w:numPr>
        <w:spacing w:line="360" w:lineRule="auto"/>
        <w:ind w:firstLine="420" w:firstLineChars="0"/>
        <w:rPr>
          <w:rFonts w:hint="default"/>
          <w:b w:val="0"/>
          <w:bCs w:val="0"/>
          <w:sz w:val="21"/>
          <w:szCs w:val="24"/>
          <w:highlight w:val="none"/>
          <w:lang w:val="en-US" w:eastAsia="zh-CN"/>
        </w:rPr>
      </w:pPr>
      <w:r>
        <w:rPr>
          <w:rFonts w:hint="eastAsia"/>
          <w:b w:val="0"/>
          <w:bCs w:val="0"/>
          <w:sz w:val="21"/>
          <w:szCs w:val="24"/>
          <w:highlight w:val="none"/>
          <w:lang w:val="en-US" w:eastAsia="zh-CN"/>
        </w:rPr>
        <w:t>从上述可以看出：</w:t>
      </w:r>
    </w:p>
    <w:p>
      <w:pPr>
        <w:numPr>
          <w:ilvl w:val="0"/>
          <w:numId w:val="0"/>
        </w:numPr>
        <w:spacing w:line="360" w:lineRule="auto"/>
        <w:ind w:leftChars="0" w:firstLine="420" w:firstLineChars="0"/>
        <w:rPr>
          <w:rFonts w:hint="eastAsia"/>
          <w:b w:val="0"/>
          <w:bCs w:val="0"/>
          <w:sz w:val="21"/>
          <w:szCs w:val="24"/>
          <w:highlight w:val="none"/>
          <w:lang w:val="en-US" w:eastAsia="zh-CN"/>
        </w:rPr>
      </w:pPr>
      <w:r>
        <w:rPr>
          <w:rFonts w:hint="eastAsia"/>
          <w:b w:val="0"/>
          <w:bCs w:val="0"/>
          <w:sz w:val="21"/>
          <w:szCs w:val="24"/>
          <w:highlight w:val="none"/>
          <w:lang w:val="en-US" w:eastAsia="zh-CN"/>
        </w:rPr>
        <w:t>相关性最高的是公司当年的净资产收益率（ROE）与营业利润/营业总收入（opTR），其相关系数高达0.72，都为反映公司盈利水平的指标。同时，公司当年的净资产收益率（ROE）与下年度的净资产收益率（ROEf）之间，也具有较高的相关系数（0.49），这暗示公司的当年净资产收益率（ROE）对下一年的净资产收益率（ROEf）有一定的预测能力，比较符合常识。最后从散点图看出，数据中存在较多的异常值。</w:t>
      </w:r>
    </w:p>
    <w:p>
      <w:pPr>
        <w:numPr>
          <w:ilvl w:val="0"/>
          <w:numId w:val="0"/>
        </w:numPr>
        <w:spacing w:line="360" w:lineRule="auto"/>
        <w:jc w:val="left"/>
        <w:rPr>
          <w:rFonts w:hint="eastAsia" w:eastAsiaTheme="minorEastAsia"/>
          <w:lang w:eastAsia="zh-CN"/>
        </w:rPr>
      </w:pPr>
    </w:p>
    <w:p>
      <w:pPr>
        <w:numPr>
          <w:ilvl w:val="0"/>
          <w:numId w:val="2"/>
        </w:numPr>
        <w:spacing w:line="360" w:lineRule="auto"/>
        <w:ind w:left="0" w:leftChars="0" w:firstLine="0" w:firstLineChars="0"/>
        <w:rPr>
          <w:rFonts w:hint="eastAsia"/>
          <w:b/>
          <w:bCs/>
          <w:sz w:val="24"/>
          <w:szCs w:val="32"/>
          <w:lang w:eastAsia="zh-CN"/>
        </w:rPr>
      </w:pPr>
      <w:r>
        <w:rPr>
          <w:rFonts w:hint="eastAsia"/>
          <w:b/>
          <w:bCs/>
          <w:sz w:val="24"/>
          <w:szCs w:val="32"/>
          <w:lang w:eastAsia="zh-CN"/>
        </w:rPr>
        <w:t>数据建模</w:t>
      </w:r>
    </w:p>
    <w:p>
      <w:pPr>
        <w:numPr>
          <w:ilvl w:val="0"/>
          <w:numId w:val="6"/>
        </w:numPr>
        <w:spacing w:line="360" w:lineRule="auto"/>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全模型分析</w:t>
      </w:r>
    </w:p>
    <w:p>
      <w:pPr>
        <w:numPr>
          <w:ilvl w:val="0"/>
          <w:numId w:val="0"/>
        </w:numPr>
        <w:spacing w:line="360" w:lineRule="auto"/>
        <w:ind w:firstLine="420" w:firstLineChars="0"/>
        <w:rPr>
          <w:rFonts w:hint="default"/>
          <w:b w:val="0"/>
          <w:bCs w:val="0"/>
          <w:color w:val="auto"/>
          <w:sz w:val="21"/>
          <w:szCs w:val="24"/>
          <w:highlight w:val="none"/>
          <w:lang w:val="en-US" w:eastAsia="zh-CN"/>
        </w:rPr>
      </w:pPr>
      <w:r>
        <w:rPr>
          <w:rFonts w:hint="eastAsia" w:ascii="宋体" w:hAnsi="宋体" w:eastAsia="宋体" w:cs="宋体"/>
          <w:b w:val="0"/>
          <w:bCs w:val="0"/>
          <w:color w:val="auto"/>
          <w:sz w:val="21"/>
          <w:szCs w:val="24"/>
          <w:lang w:val="en-US" w:eastAsia="zh-CN"/>
        </w:rPr>
        <w:t>本报告中用</w:t>
      </w:r>
      <w:r>
        <w:rPr>
          <w:rFonts w:hint="eastAsia" w:ascii="宋体" w:hAnsi="宋体" w:eastAsia="宋体" w:cs="宋体"/>
          <w:b w:val="0"/>
          <w:bCs w:val="0"/>
          <w:color w:val="auto"/>
          <w:sz w:val="21"/>
          <w:szCs w:val="24"/>
          <w:highlight w:val="none"/>
          <w:lang w:val="en-US" w:eastAsia="zh-CN"/>
        </w:rPr>
        <w:t>线性回归的分析方法</w:t>
      </w:r>
      <w:r>
        <w:rPr>
          <w:rFonts w:hint="eastAsia" w:ascii="宋体" w:hAnsi="宋体" w:eastAsia="宋体" w:cs="宋体"/>
          <w:b w:val="0"/>
          <w:bCs w:val="0"/>
          <w:color w:val="auto"/>
          <w:sz w:val="21"/>
          <w:szCs w:val="24"/>
          <w:lang w:val="en-US" w:eastAsia="zh-CN"/>
        </w:rPr>
        <w:t>建立模型，以此来寻求自变量（公司当年的9项财务指标）与因变量（公司下一年的净资产收益率，ROEf）之间的关系。利用2015年的数据和包含9个自变量的全模型对因变量进行估计，得到表2所示的估计结果。从表2可以看到，F检验的P值非常小，表明模型是显著的，即自变量与因变量之间确实存在一定的关系。另外，未调整的判别系数（R^2）为28.4%，调整后的判别系数（R^2）为27.9%，这都表明模型对自变量与因变量之间的关系有一定的解释能力。通过考察各自变量对应的t检验的P值，在0.05的置信区间下，可以判定下一年的净资产收益率（ROEf）与资产周转率（</w:t>
      </w:r>
      <w:r>
        <w:rPr>
          <w:rFonts w:hint="eastAsia" w:ascii="宋体" w:hAnsi="宋体" w:eastAsia="宋体" w:cs="宋体"/>
          <w:i w:val="0"/>
          <w:color w:val="auto"/>
          <w:kern w:val="0"/>
          <w:sz w:val="21"/>
          <w:szCs w:val="21"/>
          <w:u w:val="none"/>
          <w:lang w:val="en-US" w:eastAsia="zh-CN" w:bidi="ar"/>
        </w:rPr>
        <w:t>taTurnover）、对数转换的资产总计（logTAssets）、当年的资产周转率（ROE）、市净率（PB）之间有着显著的正相关关系，与</w:t>
      </w:r>
      <w:r>
        <w:rPr>
          <w:rFonts w:hint="eastAsia"/>
          <w:b w:val="0"/>
          <w:bCs w:val="0"/>
          <w:color w:val="auto"/>
          <w:sz w:val="21"/>
          <w:szCs w:val="24"/>
          <w:highlight w:val="none"/>
          <w:lang w:eastAsia="zh-CN"/>
        </w:rPr>
        <w:t>应收账款/营业收入（</w:t>
      </w:r>
      <w:r>
        <w:rPr>
          <w:rFonts w:hint="eastAsia"/>
          <w:b w:val="0"/>
          <w:bCs w:val="0"/>
          <w:color w:val="auto"/>
          <w:sz w:val="21"/>
          <w:szCs w:val="24"/>
          <w:highlight w:val="none"/>
          <w:lang w:val="en-US" w:eastAsia="zh-CN"/>
        </w:rPr>
        <w:t>arR）有显著的负相关关系；对于其他变量暂时没有定论。</w:t>
      </w:r>
    </w:p>
    <w:tbl>
      <w:tblPr>
        <w:tblStyle w:val="4"/>
        <w:tblW w:w="8286" w:type="dxa"/>
        <w:jc w:val="center"/>
        <w:tblInd w:w="0" w:type="dxa"/>
        <w:shd w:val="clear" w:color="auto" w:fill="auto"/>
        <w:tblLayout w:type="fixed"/>
        <w:tblCellMar>
          <w:top w:w="0" w:type="dxa"/>
          <w:left w:w="0" w:type="dxa"/>
          <w:bottom w:w="0" w:type="dxa"/>
          <w:right w:w="0" w:type="dxa"/>
        </w:tblCellMar>
      </w:tblPr>
      <w:tblGrid>
        <w:gridCol w:w="2071"/>
        <w:gridCol w:w="2071"/>
        <w:gridCol w:w="1"/>
        <w:gridCol w:w="2070"/>
        <w:gridCol w:w="2073"/>
      </w:tblGrid>
      <w:tr>
        <w:tblPrEx>
          <w:shd w:val="clear" w:color="auto" w:fill="auto"/>
          <w:tblLayout w:type="fixed"/>
          <w:tblCellMar>
            <w:top w:w="0" w:type="dxa"/>
            <w:left w:w="0" w:type="dxa"/>
            <w:bottom w:w="0" w:type="dxa"/>
            <w:right w:w="0" w:type="dxa"/>
          </w:tblCellMar>
        </w:tblPrEx>
        <w:trPr>
          <w:trHeight w:val="285" w:hRule="atLeast"/>
          <w:jc w:val="center"/>
        </w:trPr>
        <w:tc>
          <w:tcPr>
            <w:tcW w:w="8286" w:type="dxa"/>
            <w:gridSpan w:val="5"/>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表2 全模型</w:t>
            </w:r>
          </w:p>
        </w:tc>
      </w:tr>
      <w:tr>
        <w:tblPrEx>
          <w:tblLayout w:type="fixed"/>
          <w:tblCellMar>
            <w:top w:w="0" w:type="dxa"/>
            <w:left w:w="0" w:type="dxa"/>
            <w:bottom w:w="0" w:type="dxa"/>
            <w:right w:w="0" w:type="dxa"/>
          </w:tblCellMar>
        </w:tblPrEx>
        <w:trPr>
          <w:trHeight w:val="285" w:hRule="atLeast"/>
          <w:jc w:val="center"/>
        </w:trPr>
        <w:tc>
          <w:tcPr>
            <w:tcW w:w="2071" w:type="dxa"/>
            <w:tcBorders>
              <w:top w:val="single" w:color="000000" w:sz="4" w:space="0"/>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变量名</w:t>
            </w:r>
          </w:p>
        </w:tc>
        <w:tc>
          <w:tcPr>
            <w:tcW w:w="2071" w:type="dxa"/>
            <w:tcBorders>
              <w:top w:val="single" w:color="000000" w:sz="4" w:space="0"/>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系数估计值</w:t>
            </w:r>
          </w:p>
        </w:tc>
        <w:tc>
          <w:tcPr>
            <w:tcW w:w="2071" w:type="dxa"/>
            <w:gridSpan w:val="2"/>
            <w:tcBorders>
              <w:top w:val="single" w:color="000000" w:sz="4" w:space="0"/>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标准差</w:t>
            </w:r>
          </w:p>
        </w:tc>
        <w:tc>
          <w:tcPr>
            <w:tcW w:w="2073" w:type="dxa"/>
            <w:tcBorders>
              <w:top w:val="single" w:color="000000" w:sz="4" w:space="0"/>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P值</w:t>
            </w:r>
          </w:p>
        </w:tc>
      </w:tr>
      <w:tr>
        <w:tblPrEx>
          <w:tblLayout w:type="fixed"/>
          <w:tblCellMar>
            <w:top w:w="0" w:type="dxa"/>
            <w:left w:w="0" w:type="dxa"/>
            <w:bottom w:w="0" w:type="dxa"/>
            <w:right w:w="0" w:type="dxa"/>
          </w:tblCellMar>
        </w:tblPrEx>
        <w:trPr>
          <w:trHeight w:val="285" w:hRule="atLeast"/>
          <w:jc w:val="center"/>
        </w:trPr>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截距</w:t>
            </w:r>
          </w:p>
        </w:tc>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-0.094 </w:t>
            </w:r>
          </w:p>
        </w:tc>
        <w:tc>
          <w:tcPr>
            <w:tcW w:w="2071" w:type="dxa"/>
            <w:gridSpan w:val="2"/>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0.054 </w:t>
            </w:r>
          </w:p>
        </w:tc>
        <w:tc>
          <w:tcPr>
            <w:tcW w:w="20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0.084 </w:t>
            </w:r>
          </w:p>
        </w:tc>
      </w:tr>
      <w:tr>
        <w:tblPrEx>
          <w:tblLayout w:type="fixed"/>
          <w:tblCellMar>
            <w:top w:w="0" w:type="dxa"/>
            <w:left w:w="0" w:type="dxa"/>
            <w:bottom w:w="0" w:type="dxa"/>
            <w:right w:w="0" w:type="dxa"/>
          </w:tblCellMar>
        </w:tblPrEx>
        <w:trPr>
          <w:trHeight w:val="312" w:hRule="atLeast"/>
          <w:jc w:val="center"/>
        </w:trPr>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PB</w:t>
            </w:r>
          </w:p>
        </w:tc>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0.001 </w:t>
            </w:r>
          </w:p>
        </w:tc>
        <w:tc>
          <w:tcPr>
            <w:tcW w:w="2071" w:type="dxa"/>
            <w:gridSpan w:val="2"/>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0.000 </w:t>
            </w:r>
          </w:p>
        </w:tc>
        <w:tc>
          <w:tcPr>
            <w:tcW w:w="20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0.010 </w:t>
            </w:r>
          </w:p>
        </w:tc>
      </w:tr>
      <w:tr>
        <w:tblPrEx>
          <w:tblLayout w:type="fixed"/>
          <w:tblCellMar>
            <w:top w:w="0" w:type="dxa"/>
            <w:left w:w="0" w:type="dxa"/>
            <w:bottom w:w="0" w:type="dxa"/>
            <w:right w:w="0" w:type="dxa"/>
          </w:tblCellMar>
        </w:tblPrEx>
        <w:trPr>
          <w:trHeight w:val="285" w:hRule="atLeast"/>
          <w:jc w:val="center"/>
        </w:trPr>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taTurnover</w:t>
            </w:r>
          </w:p>
        </w:tc>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0.029 </w:t>
            </w:r>
          </w:p>
        </w:tc>
        <w:tc>
          <w:tcPr>
            <w:tcW w:w="2071" w:type="dxa"/>
            <w:gridSpan w:val="2"/>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0.006 </w:t>
            </w:r>
          </w:p>
        </w:tc>
        <w:tc>
          <w:tcPr>
            <w:tcW w:w="20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0.000 </w:t>
            </w:r>
          </w:p>
        </w:tc>
      </w:tr>
      <w:tr>
        <w:tblPrEx>
          <w:tblLayout w:type="fixed"/>
          <w:tblCellMar>
            <w:top w:w="0" w:type="dxa"/>
            <w:left w:w="0" w:type="dxa"/>
            <w:bottom w:w="0" w:type="dxa"/>
            <w:right w:w="0" w:type="dxa"/>
          </w:tblCellMar>
        </w:tblPrEx>
        <w:trPr>
          <w:trHeight w:val="285" w:hRule="atLeast"/>
          <w:jc w:val="center"/>
        </w:trPr>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arR</w:t>
            </w:r>
          </w:p>
        </w:tc>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-0.026 </w:t>
            </w:r>
          </w:p>
        </w:tc>
        <w:tc>
          <w:tcPr>
            <w:tcW w:w="2071" w:type="dxa"/>
            <w:gridSpan w:val="2"/>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0.007 </w:t>
            </w:r>
          </w:p>
        </w:tc>
        <w:tc>
          <w:tcPr>
            <w:tcW w:w="20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0.000 </w:t>
            </w:r>
          </w:p>
        </w:tc>
      </w:tr>
      <w:tr>
        <w:tblPrEx>
          <w:tblLayout w:type="fixed"/>
          <w:tblCellMar>
            <w:top w:w="0" w:type="dxa"/>
            <w:left w:w="0" w:type="dxa"/>
            <w:bottom w:w="0" w:type="dxa"/>
            <w:right w:w="0" w:type="dxa"/>
          </w:tblCellMar>
        </w:tblPrEx>
        <w:trPr>
          <w:trHeight w:val="285" w:hRule="atLeast"/>
          <w:jc w:val="center"/>
        </w:trPr>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logTAssets</w:t>
            </w:r>
          </w:p>
        </w:tc>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0.006 </w:t>
            </w:r>
          </w:p>
        </w:tc>
        <w:tc>
          <w:tcPr>
            <w:tcW w:w="2071" w:type="dxa"/>
            <w:gridSpan w:val="2"/>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0.003 </w:t>
            </w:r>
          </w:p>
        </w:tc>
        <w:tc>
          <w:tcPr>
            <w:tcW w:w="20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0.024 </w:t>
            </w:r>
          </w:p>
        </w:tc>
      </w:tr>
      <w:tr>
        <w:tblPrEx>
          <w:tblLayout w:type="fixed"/>
          <w:tblCellMar>
            <w:top w:w="0" w:type="dxa"/>
            <w:left w:w="0" w:type="dxa"/>
            <w:bottom w:w="0" w:type="dxa"/>
            <w:right w:w="0" w:type="dxa"/>
          </w:tblCellMar>
        </w:tblPrEx>
        <w:trPr>
          <w:trHeight w:val="285" w:hRule="atLeast"/>
          <w:jc w:val="center"/>
        </w:trPr>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lev</w:t>
            </w:r>
          </w:p>
        </w:tc>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0.005 </w:t>
            </w:r>
          </w:p>
        </w:tc>
        <w:tc>
          <w:tcPr>
            <w:tcW w:w="2071" w:type="dxa"/>
            <w:gridSpan w:val="2"/>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0.013 </w:t>
            </w:r>
          </w:p>
        </w:tc>
        <w:tc>
          <w:tcPr>
            <w:tcW w:w="20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0.685 </w:t>
            </w:r>
          </w:p>
        </w:tc>
      </w:tr>
      <w:tr>
        <w:tblPrEx>
          <w:tblLayout w:type="fixed"/>
          <w:tblCellMar>
            <w:top w:w="0" w:type="dxa"/>
            <w:left w:w="0" w:type="dxa"/>
            <w:bottom w:w="0" w:type="dxa"/>
            <w:right w:w="0" w:type="dxa"/>
          </w:tblCellMar>
        </w:tblPrEx>
        <w:trPr>
          <w:trHeight w:val="285" w:hRule="atLeast"/>
          <w:jc w:val="center"/>
        </w:trPr>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inv</w:t>
            </w:r>
          </w:p>
        </w:tc>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-0.024 </w:t>
            </w:r>
          </w:p>
        </w:tc>
        <w:tc>
          <w:tcPr>
            <w:tcW w:w="2071" w:type="dxa"/>
            <w:gridSpan w:val="2"/>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0.018 </w:t>
            </w:r>
          </w:p>
        </w:tc>
        <w:tc>
          <w:tcPr>
            <w:tcW w:w="20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0.194 </w:t>
            </w:r>
          </w:p>
        </w:tc>
      </w:tr>
      <w:tr>
        <w:tblPrEx>
          <w:tblLayout w:type="fixed"/>
          <w:tblCellMar>
            <w:top w:w="0" w:type="dxa"/>
            <w:left w:w="0" w:type="dxa"/>
            <w:bottom w:w="0" w:type="dxa"/>
            <w:right w:w="0" w:type="dxa"/>
          </w:tblCellMar>
        </w:tblPrEx>
        <w:trPr>
          <w:trHeight w:val="285" w:hRule="atLeast"/>
          <w:jc w:val="center"/>
        </w:trPr>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revenueYOY</w:t>
            </w:r>
          </w:p>
        </w:tc>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0.004 </w:t>
            </w:r>
          </w:p>
        </w:tc>
        <w:tc>
          <w:tcPr>
            <w:tcW w:w="2071" w:type="dxa"/>
            <w:gridSpan w:val="2"/>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0.005 </w:t>
            </w:r>
          </w:p>
        </w:tc>
        <w:tc>
          <w:tcPr>
            <w:tcW w:w="20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0.407 </w:t>
            </w:r>
          </w:p>
        </w:tc>
      </w:tr>
      <w:tr>
        <w:tblPrEx>
          <w:tblLayout w:type="fixed"/>
          <w:tblCellMar>
            <w:top w:w="0" w:type="dxa"/>
            <w:left w:w="0" w:type="dxa"/>
            <w:bottom w:w="0" w:type="dxa"/>
            <w:right w:w="0" w:type="dxa"/>
          </w:tblCellMar>
        </w:tblPrEx>
        <w:trPr>
          <w:trHeight w:val="285" w:hRule="atLeast"/>
          <w:jc w:val="center"/>
        </w:trPr>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ROE</w:t>
            </w:r>
          </w:p>
        </w:tc>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0.339 </w:t>
            </w:r>
          </w:p>
        </w:tc>
        <w:tc>
          <w:tcPr>
            <w:tcW w:w="2071" w:type="dxa"/>
            <w:gridSpan w:val="2"/>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0.034 </w:t>
            </w:r>
          </w:p>
        </w:tc>
        <w:tc>
          <w:tcPr>
            <w:tcW w:w="20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0.000 </w:t>
            </w:r>
          </w:p>
        </w:tc>
      </w:tr>
      <w:tr>
        <w:tblPrEx>
          <w:tblLayout w:type="fixed"/>
          <w:tblCellMar>
            <w:top w:w="0" w:type="dxa"/>
            <w:left w:w="0" w:type="dxa"/>
            <w:bottom w:w="0" w:type="dxa"/>
            <w:right w:w="0" w:type="dxa"/>
          </w:tblCellMar>
        </w:tblPrEx>
        <w:trPr>
          <w:trHeight w:val="285" w:hRule="atLeast"/>
          <w:jc w:val="center"/>
        </w:trPr>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opTR</w:t>
            </w:r>
          </w:p>
        </w:tc>
        <w:tc>
          <w:tcPr>
            <w:tcW w:w="2071"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0.024 </w:t>
            </w:r>
          </w:p>
        </w:tc>
        <w:tc>
          <w:tcPr>
            <w:tcW w:w="2071" w:type="dxa"/>
            <w:gridSpan w:val="2"/>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0.020 </w:t>
            </w:r>
          </w:p>
        </w:tc>
        <w:tc>
          <w:tcPr>
            <w:tcW w:w="2073"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21"/>
                <w:szCs w:val="21"/>
                <w:u w:val="none"/>
                <w:lang w:val="en-US" w:eastAsia="zh-CN" w:bidi="ar"/>
              </w:rPr>
              <w:t xml:space="preserve">0.235 </w:t>
            </w:r>
          </w:p>
        </w:tc>
      </w:tr>
      <w:tr>
        <w:tblPrEx>
          <w:tblLayout w:type="fixed"/>
          <w:tblCellMar>
            <w:top w:w="0" w:type="dxa"/>
            <w:left w:w="0" w:type="dxa"/>
            <w:bottom w:w="0" w:type="dxa"/>
            <w:right w:w="0" w:type="dxa"/>
          </w:tblCellMar>
        </w:tblPrEx>
        <w:trPr>
          <w:trHeight w:val="285" w:hRule="atLeast"/>
          <w:jc w:val="center"/>
        </w:trPr>
        <w:tc>
          <w:tcPr>
            <w:tcW w:w="4143" w:type="dxa"/>
            <w:gridSpan w:val="3"/>
            <w:tcBorders>
              <w:top w:val="single" w:color="000000" w:sz="4" w:space="0"/>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残差项标准差：0.061</w:t>
            </w:r>
          </w:p>
        </w:tc>
        <w:tc>
          <w:tcPr>
            <w:tcW w:w="4143" w:type="dxa"/>
            <w:gridSpan w:val="2"/>
            <w:tcBorders>
              <w:top w:val="single" w:color="000000" w:sz="4" w:space="0"/>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模型F检验P值 &lt; 0.001</w:t>
            </w:r>
          </w:p>
        </w:tc>
      </w:tr>
      <w:tr>
        <w:tblPrEx>
          <w:tblLayout w:type="fixed"/>
          <w:tblCellMar>
            <w:top w:w="0" w:type="dxa"/>
            <w:left w:w="0" w:type="dxa"/>
            <w:bottom w:w="0" w:type="dxa"/>
            <w:right w:w="0" w:type="dxa"/>
          </w:tblCellMar>
        </w:tblPrEx>
        <w:trPr>
          <w:trHeight w:val="285" w:hRule="atLeast"/>
          <w:jc w:val="center"/>
        </w:trPr>
        <w:tc>
          <w:tcPr>
            <w:tcW w:w="4143" w:type="dxa"/>
            <w:gridSpan w:val="3"/>
            <w:tcBorders>
              <w:top w:val="nil"/>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判决系数（R^2）：0.284</w:t>
            </w:r>
          </w:p>
        </w:tc>
        <w:tc>
          <w:tcPr>
            <w:tcW w:w="4143" w:type="dxa"/>
            <w:gridSpan w:val="2"/>
            <w:tcBorders>
              <w:top w:val="nil"/>
              <w:left w:val="nil"/>
              <w:bottom w:val="single" w:color="000000" w:sz="4"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调整的判决系数（R^2）：0.279</w:t>
            </w:r>
          </w:p>
        </w:tc>
      </w:tr>
    </w:tbl>
    <w:p>
      <w:pPr>
        <w:numPr>
          <w:ilvl w:val="0"/>
          <w:numId w:val="0"/>
        </w:numPr>
        <w:spacing w:line="360" w:lineRule="auto"/>
        <w:rPr>
          <w:rFonts w:hint="eastAsia" w:ascii="宋体" w:hAnsi="宋体" w:eastAsia="宋体" w:cs="宋体"/>
          <w:b/>
          <w:bCs/>
          <w:sz w:val="21"/>
          <w:szCs w:val="24"/>
          <w:lang w:val="en-US" w:eastAsia="zh-CN"/>
        </w:rPr>
      </w:pPr>
    </w:p>
    <w:p>
      <w:pPr>
        <w:numPr>
          <w:ilvl w:val="0"/>
          <w:numId w:val="6"/>
        </w:numPr>
        <w:spacing w:line="360" w:lineRule="auto"/>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模型选择与预测</w:t>
      </w:r>
    </w:p>
    <w:p>
      <w:pPr>
        <w:numPr>
          <w:ilvl w:val="0"/>
          <w:numId w:val="0"/>
        </w:numPr>
        <w:spacing w:line="360" w:lineRule="auto"/>
        <w:ind w:leftChars="0" w:firstLine="420" w:firstLineChars="0"/>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从以上全模型的分析结果容易发现，有5个财务指标非常重要，但不能排除其他变量也具有预测能力的可能。因此采用最常用变量选择的方法，即AIC和BIC，来选择具有预测能力的模型。</w:t>
      </w:r>
    </w:p>
    <w:p>
      <w:pPr>
        <w:numPr>
          <w:ilvl w:val="0"/>
          <w:numId w:val="0"/>
        </w:numPr>
        <w:spacing w:line="360" w:lineRule="auto"/>
        <w:ind w:leftChars="0" w:firstLine="420" w:firstLineChars="0"/>
        <w:rPr>
          <w:rFonts w:hint="default"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如果用AIC选择模型，可以得到以下模型估计结果，如表3所示。</w:t>
      </w:r>
    </w:p>
    <w:tbl>
      <w:tblPr>
        <w:tblStyle w:val="4"/>
        <w:tblW w:w="8221" w:type="dxa"/>
        <w:jc w:val="center"/>
        <w:tblInd w:w="21" w:type="dxa"/>
        <w:shd w:val="clear" w:color="auto" w:fill="auto"/>
        <w:tblLayout w:type="fixed"/>
        <w:tblCellMar>
          <w:top w:w="0" w:type="dxa"/>
          <w:left w:w="0" w:type="dxa"/>
          <w:bottom w:w="0" w:type="dxa"/>
          <w:right w:w="0" w:type="dxa"/>
        </w:tblCellMar>
      </w:tblPr>
      <w:tblGrid>
        <w:gridCol w:w="2055"/>
        <w:gridCol w:w="2055"/>
        <w:gridCol w:w="2055"/>
        <w:gridCol w:w="2056"/>
      </w:tblGrid>
      <w:tr>
        <w:tblPrEx>
          <w:shd w:val="clear" w:color="auto" w:fill="auto"/>
          <w:tblLayout w:type="fixed"/>
          <w:tblCellMar>
            <w:top w:w="0" w:type="dxa"/>
            <w:left w:w="0" w:type="dxa"/>
            <w:bottom w:w="0" w:type="dxa"/>
            <w:right w:w="0" w:type="dxa"/>
          </w:tblCellMar>
        </w:tblPrEx>
        <w:trPr>
          <w:trHeight w:val="330" w:hRule="atLeast"/>
          <w:jc w:val="center"/>
        </w:trPr>
        <w:tc>
          <w:tcPr>
            <w:tcW w:w="8221" w:type="dxa"/>
            <w:gridSpan w:val="4"/>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表3 AIC</w:t>
            </w:r>
          </w:p>
        </w:tc>
      </w:tr>
      <w:tr>
        <w:tblPrEx>
          <w:tblLayout w:type="fixed"/>
          <w:tblCellMar>
            <w:top w:w="0" w:type="dxa"/>
            <w:left w:w="0" w:type="dxa"/>
            <w:bottom w:w="0" w:type="dxa"/>
            <w:right w:w="0" w:type="dxa"/>
          </w:tblCellMar>
        </w:tblPrEx>
        <w:trPr>
          <w:trHeight w:val="330" w:hRule="atLeast"/>
          <w:jc w:val="center"/>
        </w:trPr>
        <w:tc>
          <w:tcPr>
            <w:tcW w:w="2055"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变量名</w:t>
            </w:r>
          </w:p>
        </w:tc>
        <w:tc>
          <w:tcPr>
            <w:tcW w:w="2055"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系数估计值</w:t>
            </w:r>
          </w:p>
        </w:tc>
        <w:tc>
          <w:tcPr>
            <w:tcW w:w="2055"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标准差</w:t>
            </w:r>
          </w:p>
        </w:tc>
        <w:tc>
          <w:tcPr>
            <w:tcW w:w="2056"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P值</w:t>
            </w:r>
          </w:p>
        </w:tc>
      </w:tr>
      <w:tr>
        <w:tblPrEx>
          <w:tblLayout w:type="fixed"/>
          <w:tblCellMar>
            <w:top w:w="0" w:type="dxa"/>
            <w:left w:w="0" w:type="dxa"/>
            <w:bottom w:w="0" w:type="dxa"/>
            <w:right w:w="0" w:type="dxa"/>
          </w:tblCellMar>
        </w:tblPrEx>
        <w:trPr>
          <w:trHeight w:val="330" w:hRule="atLeast"/>
          <w:jc w:val="center"/>
        </w:trPr>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截距</w:t>
            </w:r>
          </w:p>
        </w:tc>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-0.111 </w:t>
            </w:r>
          </w:p>
        </w:tc>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0.046 </w:t>
            </w:r>
          </w:p>
        </w:tc>
        <w:tc>
          <w:tcPr>
            <w:tcW w:w="205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0.015 </w:t>
            </w:r>
          </w:p>
        </w:tc>
      </w:tr>
      <w:tr>
        <w:tblPrEx>
          <w:tblLayout w:type="fixed"/>
          <w:tblCellMar>
            <w:top w:w="0" w:type="dxa"/>
            <w:left w:w="0" w:type="dxa"/>
            <w:bottom w:w="0" w:type="dxa"/>
            <w:right w:w="0" w:type="dxa"/>
          </w:tblCellMar>
        </w:tblPrEx>
        <w:trPr>
          <w:trHeight w:val="330" w:hRule="atLeast"/>
          <w:jc w:val="center"/>
        </w:trPr>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ROE</w:t>
            </w:r>
          </w:p>
        </w:tc>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0.339 </w:t>
            </w:r>
          </w:p>
        </w:tc>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0.034 </w:t>
            </w:r>
          </w:p>
        </w:tc>
        <w:tc>
          <w:tcPr>
            <w:tcW w:w="205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0.000 </w:t>
            </w:r>
          </w:p>
        </w:tc>
      </w:tr>
      <w:tr>
        <w:tblPrEx>
          <w:tblLayout w:type="fixed"/>
          <w:tblCellMar>
            <w:top w:w="0" w:type="dxa"/>
            <w:left w:w="0" w:type="dxa"/>
            <w:bottom w:w="0" w:type="dxa"/>
            <w:right w:w="0" w:type="dxa"/>
          </w:tblCellMar>
        </w:tblPrEx>
        <w:trPr>
          <w:trHeight w:val="330" w:hRule="atLeast"/>
          <w:jc w:val="center"/>
        </w:trPr>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taTurnover</w:t>
            </w:r>
          </w:p>
        </w:tc>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0.030 </w:t>
            </w:r>
          </w:p>
        </w:tc>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0.006 </w:t>
            </w:r>
          </w:p>
        </w:tc>
        <w:tc>
          <w:tcPr>
            <w:tcW w:w="205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0.000 </w:t>
            </w:r>
          </w:p>
        </w:tc>
      </w:tr>
      <w:tr>
        <w:tblPrEx>
          <w:tblLayout w:type="fixed"/>
          <w:tblCellMar>
            <w:top w:w="0" w:type="dxa"/>
            <w:left w:w="0" w:type="dxa"/>
            <w:bottom w:w="0" w:type="dxa"/>
            <w:right w:w="0" w:type="dxa"/>
          </w:tblCellMar>
        </w:tblPrEx>
        <w:trPr>
          <w:trHeight w:val="330" w:hRule="atLeast"/>
          <w:jc w:val="center"/>
        </w:trPr>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arR</w:t>
            </w:r>
          </w:p>
        </w:tc>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-0.025 </w:t>
            </w:r>
          </w:p>
        </w:tc>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0.007 </w:t>
            </w:r>
          </w:p>
        </w:tc>
        <w:tc>
          <w:tcPr>
            <w:tcW w:w="205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0.001 </w:t>
            </w:r>
          </w:p>
        </w:tc>
      </w:tr>
      <w:tr>
        <w:tblPrEx>
          <w:tblLayout w:type="fixed"/>
          <w:tblCellMar>
            <w:top w:w="0" w:type="dxa"/>
            <w:left w:w="0" w:type="dxa"/>
            <w:bottom w:w="0" w:type="dxa"/>
            <w:right w:w="0" w:type="dxa"/>
          </w:tblCellMar>
        </w:tblPrEx>
        <w:trPr>
          <w:trHeight w:val="330" w:hRule="atLeast"/>
          <w:jc w:val="center"/>
        </w:trPr>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logTAssets</w:t>
            </w:r>
          </w:p>
        </w:tc>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0.006 </w:t>
            </w:r>
          </w:p>
        </w:tc>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0.002 </w:t>
            </w:r>
          </w:p>
        </w:tc>
        <w:tc>
          <w:tcPr>
            <w:tcW w:w="205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0.002 </w:t>
            </w:r>
          </w:p>
        </w:tc>
      </w:tr>
      <w:tr>
        <w:tblPrEx>
          <w:tblLayout w:type="fixed"/>
          <w:tblCellMar>
            <w:top w:w="0" w:type="dxa"/>
            <w:left w:w="0" w:type="dxa"/>
            <w:bottom w:w="0" w:type="dxa"/>
            <w:right w:w="0" w:type="dxa"/>
          </w:tblCellMar>
        </w:tblPrEx>
        <w:trPr>
          <w:trHeight w:val="330" w:hRule="atLeast"/>
          <w:jc w:val="center"/>
        </w:trPr>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PB</w:t>
            </w:r>
          </w:p>
        </w:tc>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0.001 </w:t>
            </w:r>
          </w:p>
        </w:tc>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0.000 </w:t>
            </w:r>
          </w:p>
        </w:tc>
        <w:tc>
          <w:tcPr>
            <w:tcW w:w="205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0.002 </w:t>
            </w:r>
          </w:p>
        </w:tc>
      </w:tr>
      <w:tr>
        <w:tblPrEx>
          <w:tblLayout w:type="fixed"/>
          <w:tblCellMar>
            <w:top w:w="0" w:type="dxa"/>
            <w:left w:w="0" w:type="dxa"/>
            <w:bottom w:w="0" w:type="dxa"/>
            <w:right w:w="0" w:type="dxa"/>
          </w:tblCellMar>
        </w:tblPrEx>
        <w:trPr>
          <w:trHeight w:val="330" w:hRule="atLeast"/>
          <w:jc w:val="center"/>
        </w:trPr>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opTR</w:t>
            </w:r>
          </w:p>
        </w:tc>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 xml:space="preserve">0.026 </w:t>
            </w:r>
          </w:p>
        </w:tc>
        <w:tc>
          <w:tcPr>
            <w:tcW w:w="2055"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 xml:space="preserve">0.018 </w:t>
            </w:r>
          </w:p>
        </w:tc>
        <w:tc>
          <w:tcPr>
            <w:tcW w:w="2056"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 xml:space="preserve">0.153 </w:t>
            </w:r>
          </w:p>
        </w:tc>
      </w:tr>
      <w:tr>
        <w:tblPrEx>
          <w:tblLayout w:type="fixed"/>
          <w:tblCellMar>
            <w:top w:w="0" w:type="dxa"/>
            <w:left w:w="0" w:type="dxa"/>
            <w:bottom w:w="0" w:type="dxa"/>
            <w:right w:w="0" w:type="dxa"/>
          </w:tblCellMar>
        </w:tblPrEx>
        <w:trPr>
          <w:trHeight w:val="330" w:hRule="atLeast"/>
          <w:jc w:val="center"/>
        </w:trPr>
        <w:tc>
          <w:tcPr>
            <w:tcW w:w="4110" w:type="dxa"/>
            <w:gridSpan w:val="2"/>
            <w:tcBorders>
              <w:top w:val="single" w:color="000000" w:sz="8" w:space="0"/>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残差项标准差：0.061</w:t>
            </w:r>
          </w:p>
        </w:tc>
        <w:tc>
          <w:tcPr>
            <w:tcW w:w="4111" w:type="dxa"/>
            <w:gridSpan w:val="2"/>
            <w:tcBorders>
              <w:top w:val="single" w:color="000000" w:sz="8" w:space="0"/>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模型F检验P值 &lt; 0.001</w:t>
            </w:r>
          </w:p>
        </w:tc>
      </w:tr>
      <w:tr>
        <w:tblPrEx>
          <w:tblLayout w:type="fixed"/>
          <w:tblCellMar>
            <w:top w:w="0" w:type="dxa"/>
            <w:left w:w="0" w:type="dxa"/>
            <w:bottom w:w="0" w:type="dxa"/>
            <w:right w:w="0" w:type="dxa"/>
          </w:tblCellMar>
        </w:tblPrEx>
        <w:trPr>
          <w:trHeight w:val="345" w:hRule="atLeast"/>
          <w:jc w:val="center"/>
        </w:trPr>
        <w:tc>
          <w:tcPr>
            <w:tcW w:w="4110" w:type="dxa"/>
            <w:gridSpan w:val="2"/>
            <w:tcBorders>
              <w:top w:val="nil"/>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判决系数（R^2）:0.283</w:t>
            </w:r>
          </w:p>
        </w:tc>
        <w:tc>
          <w:tcPr>
            <w:tcW w:w="4111" w:type="dxa"/>
            <w:gridSpan w:val="2"/>
            <w:tcBorders>
              <w:top w:val="nil"/>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调整的判决系数（R^2）:0.279</w:t>
            </w:r>
          </w:p>
        </w:tc>
      </w:tr>
    </w:tbl>
    <w:p>
      <w:pPr>
        <w:numPr>
          <w:ilvl w:val="0"/>
          <w:numId w:val="0"/>
        </w:numPr>
        <w:spacing w:line="360" w:lineRule="auto"/>
        <w:ind w:firstLine="420" w:firstLineChars="0"/>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b w:val="0"/>
          <w:bCs w:val="0"/>
          <w:sz w:val="21"/>
          <w:szCs w:val="24"/>
          <w:lang w:val="en-US" w:eastAsia="zh-CN"/>
        </w:rPr>
        <w:t>从表3可以看出，AIC认为当年的净资产收益率（</w:t>
      </w:r>
      <w:r>
        <w:rPr>
          <w:rFonts w:hint="eastAsia" w:ascii="宋体" w:hAnsi="宋体" w:eastAsia="宋体" w:cs="宋体"/>
          <w:i w:val="0"/>
          <w:color w:val="000000"/>
          <w:kern w:val="0"/>
          <w:sz w:val="21"/>
          <w:szCs w:val="21"/>
          <w:u w:val="none"/>
          <w:lang w:val="en-US" w:eastAsia="zh-CN" w:bidi="ar"/>
        </w:rPr>
        <w:t>ROE）、资产周转率（taTurnover）、</w:t>
      </w:r>
      <w:r>
        <w:rPr>
          <w:rFonts w:hint="eastAsia"/>
          <w:b w:val="0"/>
          <w:bCs w:val="0"/>
          <w:sz w:val="21"/>
          <w:szCs w:val="24"/>
          <w:highlight w:val="none"/>
          <w:lang w:eastAsia="zh-CN"/>
        </w:rPr>
        <w:t>应收账款/营业收入（</w:t>
      </w:r>
      <w:r>
        <w:rPr>
          <w:rFonts w:hint="eastAsia"/>
          <w:b w:val="0"/>
          <w:bCs w:val="0"/>
          <w:sz w:val="21"/>
          <w:szCs w:val="24"/>
          <w:highlight w:val="none"/>
          <w:lang w:val="en-US" w:eastAsia="zh-CN"/>
        </w:rPr>
        <w:t>arR）</w:t>
      </w:r>
      <w:r>
        <w:rPr>
          <w:rFonts w:hint="eastAsia" w:ascii="宋体" w:hAnsi="宋体" w:eastAsia="宋体" w:cs="宋体"/>
          <w:i w:val="0"/>
          <w:color w:val="000000"/>
          <w:kern w:val="0"/>
          <w:sz w:val="21"/>
          <w:szCs w:val="21"/>
          <w:u w:val="none"/>
          <w:lang w:val="en-US" w:eastAsia="zh-CN" w:bidi="ar"/>
        </w:rPr>
        <w:t>、对数转换的资产总计（logTAssets）、市净率（PB）、</w:t>
      </w:r>
      <w:r>
        <w:rPr>
          <w:rFonts w:hint="eastAsia"/>
          <w:b w:val="0"/>
          <w:bCs w:val="0"/>
          <w:sz w:val="21"/>
          <w:szCs w:val="24"/>
          <w:highlight w:val="none"/>
          <w:lang w:val="en-US" w:eastAsia="zh-CN"/>
        </w:rPr>
        <w:t>营业利润/营业总收入（opTR）</w:t>
      </w:r>
      <w:r>
        <w:rPr>
          <w:rFonts w:hint="eastAsia" w:ascii="宋体" w:hAnsi="宋体" w:eastAsia="宋体" w:cs="宋体"/>
          <w:i w:val="0"/>
          <w:color w:val="000000"/>
          <w:kern w:val="0"/>
          <w:sz w:val="21"/>
          <w:szCs w:val="21"/>
          <w:u w:val="none"/>
          <w:lang w:val="en-US" w:eastAsia="zh-CN" w:bidi="ar"/>
        </w:rPr>
        <w:t>对于预测下一年的资产收益率（ROEf）重要；</w:t>
      </w:r>
      <w:r>
        <w:rPr>
          <w:rFonts w:hint="eastAsia"/>
          <w:b w:val="0"/>
          <w:bCs w:val="0"/>
          <w:sz w:val="21"/>
          <w:szCs w:val="24"/>
          <w:highlight w:val="none"/>
          <w:lang w:val="en-US" w:eastAsia="zh-CN"/>
        </w:rPr>
        <w:t>而且这6个变量都在</w:t>
      </w:r>
      <w:r>
        <w:rPr>
          <w:rFonts w:hint="eastAsia" w:ascii="宋体" w:hAnsi="宋体" w:eastAsia="宋体" w:cs="宋体"/>
          <w:i w:val="0"/>
          <w:color w:val="000000"/>
          <w:kern w:val="0"/>
          <w:sz w:val="21"/>
          <w:szCs w:val="21"/>
          <w:u w:val="none"/>
          <w:lang w:val="en-US" w:eastAsia="zh-CN" w:bidi="ar"/>
        </w:rPr>
        <w:t>0.2的水平下显著，但AIC的判别系数与全模型相比无差异。</w:t>
      </w:r>
    </w:p>
    <w:p>
      <w:pPr>
        <w:numPr>
          <w:ilvl w:val="0"/>
          <w:numId w:val="0"/>
        </w:numPr>
        <w:spacing w:line="360" w:lineRule="auto"/>
        <w:ind w:leftChars="0" w:firstLine="420" w:firstLineChars="0"/>
        <w:rPr>
          <w:rFonts w:hint="default"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如果</w:t>
      </w:r>
      <w:r>
        <w:rPr>
          <w:rFonts w:hint="eastAsia" w:ascii="宋体" w:hAnsi="宋体" w:eastAsia="宋体" w:cs="宋体"/>
          <w:b w:val="0"/>
          <w:bCs w:val="0"/>
          <w:sz w:val="21"/>
          <w:szCs w:val="24"/>
          <w:lang w:val="en-US" w:eastAsia="zh-CN"/>
        </w:rPr>
        <w:t>用BIC选择模型，可以得到以下模型估计结果，如表4所示。从表4可以看出，BIC认为当年的净资产收益率（</w:t>
      </w:r>
      <w:r>
        <w:rPr>
          <w:rFonts w:hint="eastAsia" w:ascii="宋体" w:hAnsi="宋体" w:eastAsia="宋体" w:cs="宋体"/>
          <w:i w:val="0"/>
          <w:color w:val="000000"/>
          <w:kern w:val="0"/>
          <w:sz w:val="21"/>
          <w:szCs w:val="21"/>
          <w:u w:val="none"/>
          <w:lang w:val="en-US" w:eastAsia="zh-CN" w:bidi="ar"/>
        </w:rPr>
        <w:t>ROE）、资产周转率（taTurnover）、</w:t>
      </w:r>
      <w:r>
        <w:rPr>
          <w:rFonts w:hint="eastAsia"/>
          <w:b w:val="0"/>
          <w:bCs w:val="0"/>
          <w:sz w:val="21"/>
          <w:szCs w:val="24"/>
          <w:highlight w:val="none"/>
          <w:lang w:eastAsia="zh-CN"/>
        </w:rPr>
        <w:t>应收账款/营业收入（</w:t>
      </w:r>
      <w:r>
        <w:rPr>
          <w:rFonts w:hint="eastAsia"/>
          <w:b w:val="0"/>
          <w:bCs w:val="0"/>
          <w:sz w:val="21"/>
          <w:szCs w:val="24"/>
          <w:highlight w:val="none"/>
          <w:lang w:val="en-US" w:eastAsia="zh-CN"/>
        </w:rPr>
        <w:t>arR）</w:t>
      </w:r>
      <w:r>
        <w:rPr>
          <w:rFonts w:hint="eastAsia" w:ascii="宋体" w:hAnsi="宋体" w:eastAsia="宋体" w:cs="宋体"/>
          <w:i w:val="0"/>
          <w:color w:val="000000"/>
          <w:kern w:val="0"/>
          <w:sz w:val="21"/>
          <w:szCs w:val="21"/>
          <w:u w:val="none"/>
          <w:lang w:val="en-US" w:eastAsia="zh-CN" w:bidi="ar"/>
        </w:rPr>
        <w:t>对于预测下一年的资产收益率（ROEf）重要，相比AIC，其认为对数转换的资产总计（logTAssets）、市净率（PB）、</w:t>
      </w:r>
      <w:r>
        <w:rPr>
          <w:rFonts w:hint="eastAsia"/>
          <w:b w:val="0"/>
          <w:bCs w:val="0"/>
          <w:sz w:val="21"/>
          <w:szCs w:val="24"/>
          <w:highlight w:val="none"/>
          <w:lang w:val="en-US" w:eastAsia="zh-CN"/>
        </w:rPr>
        <w:t>营业利润/营业总收入（opTR）不重要；而且这3个变量都在0.001水平下显著，但</w:t>
      </w:r>
      <w:r>
        <w:rPr>
          <w:rFonts w:hint="eastAsia" w:ascii="宋体" w:hAnsi="宋体" w:eastAsia="宋体" w:cs="宋体"/>
          <w:i w:val="0"/>
          <w:color w:val="000000"/>
          <w:kern w:val="0"/>
          <w:sz w:val="21"/>
          <w:szCs w:val="21"/>
          <w:u w:val="none"/>
          <w:lang w:val="en-US" w:eastAsia="zh-CN" w:bidi="ar"/>
        </w:rPr>
        <w:t>判别系数略低于AIC和全模型。</w:t>
      </w:r>
    </w:p>
    <w:tbl>
      <w:tblPr>
        <w:tblStyle w:val="4"/>
        <w:tblW w:w="8274" w:type="dxa"/>
        <w:jc w:val="center"/>
        <w:tblInd w:w="-1337" w:type="dxa"/>
        <w:shd w:val="clear" w:color="auto" w:fill="auto"/>
        <w:tblLayout w:type="fixed"/>
        <w:tblCellMar>
          <w:top w:w="0" w:type="dxa"/>
          <w:left w:w="0" w:type="dxa"/>
          <w:bottom w:w="0" w:type="dxa"/>
          <w:right w:w="0" w:type="dxa"/>
        </w:tblCellMar>
      </w:tblPr>
      <w:tblGrid>
        <w:gridCol w:w="2068"/>
        <w:gridCol w:w="2068"/>
        <w:gridCol w:w="1"/>
        <w:gridCol w:w="2067"/>
        <w:gridCol w:w="2070"/>
      </w:tblGrid>
      <w:tr>
        <w:tblPrEx>
          <w:shd w:val="clear" w:color="auto" w:fill="auto"/>
          <w:tblLayout w:type="fixed"/>
          <w:tblCellMar>
            <w:top w:w="0" w:type="dxa"/>
            <w:left w:w="0" w:type="dxa"/>
            <w:bottom w:w="0" w:type="dxa"/>
            <w:right w:w="0" w:type="dxa"/>
          </w:tblCellMar>
        </w:tblPrEx>
        <w:trPr>
          <w:trHeight w:val="330" w:hRule="atLeast"/>
          <w:jc w:val="center"/>
        </w:trPr>
        <w:tc>
          <w:tcPr>
            <w:tcW w:w="8274" w:type="dxa"/>
            <w:gridSpan w:val="5"/>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表4 BIC</w:t>
            </w:r>
          </w:p>
        </w:tc>
      </w:tr>
      <w:tr>
        <w:tblPrEx>
          <w:tblLayout w:type="fixed"/>
          <w:tblCellMar>
            <w:top w:w="0" w:type="dxa"/>
            <w:left w:w="0" w:type="dxa"/>
            <w:bottom w:w="0" w:type="dxa"/>
            <w:right w:w="0" w:type="dxa"/>
          </w:tblCellMar>
        </w:tblPrEx>
        <w:trPr>
          <w:trHeight w:val="330" w:hRule="atLeast"/>
          <w:jc w:val="center"/>
        </w:trPr>
        <w:tc>
          <w:tcPr>
            <w:tcW w:w="2068"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变量名</w:t>
            </w:r>
          </w:p>
        </w:tc>
        <w:tc>
          <w:tcPr>
            <w:tcW w:w="2068"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系数估计值</w:t>
            </w:r>
          </w:p>
        </w:tc>
        <w:tc>
          <w:tcPr>
            <w:tcW w:w="2068" w:type="dxa"/>
            <w:gridSpan w:val="2"/>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标准差</w:t>
            </w:r>
          </w:p>
        </w:tc>
        <w:tc>
          <w:tcPr>
            <w:tcW w:w="2070"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P值</w:t>
            </w:r>
          </w:p>
        </w:tc>
      </w:tr>
      <w:tr>
        <w:tblPrEx>
          <w:tblLayout w:type="fixed"/>
          <w:tblCellMar>
            <w:top w:w="0" w:type="dxa"/>
            <w:left w:w="0" w:type="dxa"/>
            <w:bottom w:w="0" w:type="dxa"/>
            <w:right w:w="0" w:type="dxa"/>
          </w:tblCellMar>
        </w:tblPrEx>
        <w:trPr>
          <w:trHeight w:val="330" w:hRule="atLeast"/>
          <w:jc w:val="center"/>
        </w:trPr>
        <w:tc>
          <w:tcPr>
            <w:tcW w:w="2068"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截距</w:t>
            </w:r>
          </w:p>
        </w:tc>
        <w:tc>
          <w:tcPr>
            <w:tcW w:w="2068"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0.038 </w:t>
            </w:r>
          </w:p>
        </w:tc>
        <w:tc>
          <w:tcPr>
            <w:tcW w:w="2068" w:type="dxa"/>
            <w:gridSpan w:val="2"/>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0.005 </w:t>
            </w:r>
          </w:p>
        </w:tc>
        <w:tc>
          <w:tcPr>
            <w:tcW w:w="2070"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0.000 </w:t>
            </w:r>
          </w:p>
        </w:tc>
      </w:tr>
      <w:tr>
        <w:tblPrEx>
          <w:tblLayout w:type="fixed"/>
          <w:tblCellMar>
            <w:top w:w="0" w:type="dxa"/>
            <w:left w:w="0" w:type="dxa"/>
            <w:bottom w:w="0" w:type="dxa"/>
            <w:right w:w="0" w:type="dxa"/>
          </w:tblCellMar>
        </w:tblPrEx>
        <w:trPr>
          <w:trHeight w:val="330" w:hRule="atLeast"/>
          <w:jc w:val="center"/>
        </w:trPr>
        <w:tc>
          <w:tcPr>
            <w:tcW w:w="2068"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ROE</w:t>
            </w:r>
          </w:p>
        </w:tc>
        <w:tc>
          <w:tcPr>
            <w:tcW w:w="2068"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0.394 </w:t>
            </w:r>
          </w:p>
        </w:tc>
        <w:tc>
          <w:tcPr>
            <w:tcW w:w="2068" w:type="dxa"/>
            <w:gridSpan w:val="2"/>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0.022 </w:t>
            </w:r>
          </w:p>
        </w:tc>
        <w:tc>
          <w:tcPr>
            <w:tcW w:w="2070"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0.000 </w:t>
            </w:r>
          </w:p>
        </w:tc>
      </w:tr>
      <w:tr>
        <w:tblPrEx>
          <w:tblLayout w:type="fixed"/>
          <w:tblCellMar>
            <w:top w:w="0" w:type="dxa"/>
            <w:left w:w="0" w:type="dxa"/>
            <w:bottom w:w="0" w:type="dxa"/>
            <w:right w:w="0" w:type="dxa"/>
          </w:tblCellMar>
        </w:tblPrEx>
        <w:trPr>
          <w:trHeight w:val="330" w:hRule="atLeast"/>
          <w:jc w:val="center"/>
        </w:trPr>
        <w:tc>
          <w:tcPr>
            <w:tcW w:w="2068"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taTurnover</w:t>
            </w:r>
          </w:p>
        </w:tc>
        <w:tc>
          <w:tcPr>
            <w:tcW w:w="2068"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0.029 </w:t>
            </w:r>
          </w:p>
        </w:tc>
        <w:tc>
          <w:tcPr>
            <w:tcW w:w="2068" w:type="dxa"/>
            <w:gridSpan w:val="2"/>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0.006 </w:t>
            </w:r>
          </w:p>
        </w:tc>
        <w:tc>
          <w:tcPr>
            <w:tcW w:w="2070"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0.000 </w:t>
            </w:r>
          </w:p>
        </w:tc>
      </w:tr>
      <w:tr>
        <w:tblPrEx>
          <w:tblLayout w:type="fixed"/>
          <w:tblCellMar>
            <w:top w:w="0" w:type="dxa"/>
            <w:left w:w="0" w:type="dxa"/>
            <w:bottom w:w="0" w:type="dxa"/>
            <w:right w:w="0" w:type="dxa"/>
          </w:tblCellMar>
        </w:tblPrEx>
        <w:trPr>
          <w:trHeight w:val="330" w:hRule="atLeast"/>
          <w:jc w:val="center"/>
        </w:trPr>
        <w:tc>
          <w:tcPr>
            <w:tcW w:w="2068"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arR</w:t>
            </w:r>
          </w:p>
        </w:tc>
        <w:tc>
          <w:tcPr>
            <w:tcW w:w="2068"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-0.027 </w:t>
            </w:r>
          </w:p>
        </w:tc>
        <w:tc>
          <w:tcPr>
            <w:tcW w:w="2068" w:type="dxa"/>
            <w:gridSpan w:val="2"/>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0.007 </w:t>
            </w:r>
          </w:p>
        </w:tc>
        <w:tc>
          <w:tcPr>
            <w:tcW w:w="2070" w:type="dxa"/>
            <w:tcBorders>
              <w:top w:val="nil"/>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0.000 </w:t>
            </w:r>
          </w:p>
        </w:tc>
      </w:tr>
      <w:tr>
        <w:tblPrEx>
          <w:tblLayout w:type="fixed"/>
          <w:tblCellMar>
            <w:top w:w="0" w:type="dxa"/>
            <w:left w:w="0" w:type="dxa"/>
            <w:bottom w:w="0" w:type="dxa"/>
            <w:right w:w="0" w:type="dxa"/>
          </w:tblCellMar>
        </w:tblPrEx>
        <w:trPr>
          <w:trHeight w:val="330" w:hRule="atLeast"/>
          <w:jc w:val="center"/>
        </w:trPr>
        <w:tc>
          <w:tcPr>
            <w:tcW w:w="4137" w:type="dxa"/>
            <w:gridSpan w:val="3"/>
            <w:tcBorders>
              <w:top w:val="single" w:color="000000" w:sz="8" w:space="0"/>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残差项标准差：0.061</w:t>
            </w:r>
          </w:p>
        </w:tc>
        <w:tc>
          <w:tcPr>
            <w:tcW w:w="4137" w:type="dxa"/>
            <w:gridSpan w:val="2"/>
            <w:tcBorders>
              <w:top w:val="single" w:color="000000" w:sz="8" w:space="0"/>
              <w:left w:val="nil"/>
              <w:bottom w:val="nil"/>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18"/>
                <w:szCs w:val="18"/>
                <w:u w:val="none"/>
                <w:lang w:val="en-US"/>
              </w:rPr>
            </w:pPr>
            <w:r>
              <w:rPr>
                <w:rFonts w:hint="eastAsia" w:ascii="宋体" w:hAnsi="宋体" w:eastAsia="宋体" w:cs="宋体"/>
                <w:i w:val="0"/>
                <w:color w:val="000000"/>
                <w:kern w:val="0"/>
                <w:sz w:val="18"/>
                <w:szCs w:val="18"/>
                <w:u w:val="none"/>
                <w:lang w:val="en-US" w:eastAsia="zh-CN" w:bidi="ar"/>
              </w:rPr>
              <w:t>模型F检验P值 &lt; 0.001</w:t>
            </w:r>
          </w:p>
        </w:tc>
      </w:tr>
      <w:tr>
        <w:tblPrEx>
          <w:tblLayout w:type="fixed"/>
          <w:tblCellMar>
            <w:top w:w="0" w:type="dxa"/>
            <w:left w:w="0" w:type="dxa"/>
            <w:bottom w:w="0" w:type="dxa"/>
            <w:right w:w="0" w:type="dxa"/>
          </w:tblCellMar>
        </w:tblPrEx>
        <w:trPr>
          <w:trHeight w:val="330" w:hRule="atLeast"/>
          <w:jc w:val="center"/>
        </w:trPr>
        <w:tc>
          <w:tcPr>
            <w:tcW w:w="4137" w:type="dxa"/>
            <w:gridSpan w:val="3"/>
            <w:tcBorders>
              <w:top w:val="nil"/>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判决系数（R^2）:0.272</w:t>
            </w:r>
          </w:p>
        </w:tc>
        <w:tc>
          <w:tcPr>
            <w:tcW w:w="4137" w:type="dxa"/>
            <w:gridSpan w:val="2"/>
            <w:tcBorders>
              <w:top w:val="nil"/>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调整的判决系数（R^2）:0.270</w:t>
            </w:r>
          </w:p>
        </w:tc>
      </w:tr>
    </w:tbl>
    <w:p>
      <w:pPr>
        <w:numPr>
          <w:ilvl w:val="0"/>
          <w:numId w:val="0"/>
        </w:numPr>
        <w:spacing w:line="360" w:lineRule="auto"/>
        <w:ind w:firstLine="420" w:firstLineChars="0"/>
        <w:rPr>
          <w:rFonts w:hint="default"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为了从三个模型（全模型、基于AIC选出的模型、BIC）中选出预测能力较好的模型，使用2016年的新数据对模型的预测能力进行检验。同时，也考虑最简单的预测方法，即只用当年的净资产收益率（ROE）预测下一年的净资产收益率（ROEf），称之为“直接预测”。通过计算得到模型的预测比较，如表5所示。</w:t>
      </w:r>
    </w:p>
    <w:tbl>
      <w:tblPr>
        <w:tblStyle w:val="4"/>
        <w:tblW w:w="8316" w:type="dxa"/>
        <w:tblInd w:w="0" w:type="dxa"/>
        <w:shd w:val="clear" w:color="auto" w:fill="auto"/>
        <w:tblLayout w:type="fixed"/>
        <w:tblCellMar>
          <w:top w:w="0" w:type="dxa"/>
          <w:left w:w="0" w:type="dxa"/>
          <w:bottom w:w="0" w:type="dxa"/>
          <w:right w:w="0" w:type="dxa"/>
        </w:tblCellMar>
      </w:tblPr>
      <w:tblGrid>
        <w:gridCol w:w="1663"/>
        <w:gridCol w:w="1663"/>
        <w:gridCol w:w="1663"/>
        <w:gridCol w:w="1663"/>
        <w:gridCol w:w="1664"/>
      </w:tblGrid>
      <w:tr>
        <w:tblPrEx>
          <w:shd w:val="clear" w:color="auto" w:fill="auto"/>
          <w:tblLayout w:type="fixed"/>
          <w:tblCellMar>
            <w:top w:w="0" w:type="dxa"/>
            <w:left w:w="0" w:type="dxa"/>
            <w:bottom w:w="0" w:type="dxa"/>
            <w:right w:w="0" w:type="dxa"/>
          </w:tblCellMar>
        </w:tblPrEx>
        <w:trPr>
          <w:trHeight w:val="345" w:hRule="atLeast"/>
        </w:trPr>
        <w:tc>
          <w:tcPr>
            <w:tcW w:w="8316" w:type="dxa"/>
            <w:gridSpan w:val="5"/>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b/>
                <w:i w:val="0"/>
                <w:color w:val="000000"/>
                <w:kern w:val="0"/>
                <w:sz w:val="18"/>
                <w:szCs w:val="18"/>
                <w:u w:val="none"/>
                <w:lang w:val="en-US" w:eastAsia="zh-CN" w:bidi="ar"/>
              </w:rPr>
              <w:t>表5 预测结果比较</w:t>
            </w:r>
          </w:p>
        </w:tc>
      </w:tr>
      <w:tr>
        <w:tblPrEx>
          <w:tblLayout w:type="fixed"/>
          <w:tblCellMar>
            <w:top w:w="0" w:type="dxa"/>
            <w:left w:w="0" w:type="dxa"/>
            <w:bottom w:w="0" w:type="dxa"/>
            <w:right w:w="0" w:type="dxa"/>
          </w:tblCellMar>
        </w:tblPrEx>
        <w:trPr>
          <w:trHeight w:val="345" w:hRule="atLeast"/>
        </w:trPr>
        <w:tc>
          <w:tcPr>
            <w:tcW w:w="1663"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模型</w:t>
            </w:r>
          </w:p>
        </w:tc>
        <w:tc>
          <w:tcPr>
            <w:tcW w:w="1663"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直接预测</w:t>
            </w:r>
          </w:p>
        </w:tc>
        <w:tc>
          <w:tcPr>
            <w:tcW w:w="1663"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全模型</w:t>
            </w:r>
          </w:p>
        </w:tc>
        <w:tc>
          <w:tcPr>
            <w:tcW w:w="1663"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AIC</w:t>
            </w:r>
          </w:p>
        </w:tc>
        <w:tc>
          <w:tcPr>
            <w:tcW w:w="1664"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BIC</w:t>
            </w:r>
          </w:p>
        </w:tc>
      </w:tr>
      <w:tr>
        <w:tblPrEx>
          <w:tblLayout w:type="fixed"/>
          <w:tblCellMar>
            <w:top w:w="0" w:type="dxa"/>
            <w:left w:w="0" w:type="dxa"/>
            <w:bottom w:w="0" w:type="dxa"/>
            <w:right w:w="0" w:type="dxa"/>
          </w:tblCellMar>
        </w:tblPrEx>
        <w:trPr>
          <w:trHeight w:val="345" w:hRule="atLeast"/>
        </w:trPr>
        <w:tc>
          <w:tcPr>
            <w:tcW w:w="1663"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平均预测误差</w:t>
            </w:r>
          </w:p>
        </w:tc>
        <w:tc>
          <w:tcPr>
            <w:tcW w:w="1663"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0.0757 </w:t>
            </w:r>
          </w:p>
        </w:tc>
        <w:tc>
          <w:tcPr>
            <w:tcW w:w="1663"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0.0655 </w:t>
            </w:r>
          </w:p>
        </w:tc>
        <w:tc>
          <w:tcPr>
            <w:tcW w:w="1663"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0.0655 </w:t>
            </w:r>
          </w:p>
        </w:tc>
        <w:tc>
          <w:tcPr>
            <w:tcW w:w="1664" w:type="dxa"/>
            <w:tcBorders>
              <w:top w:val="single" w:color="000000" w:sz="8" w:space="0"/>
              <w:left w:val="nil"/>
              <w:bottom w:val="single" w:color="000000" w:sz="8" w:space="0"/>
              <w:right w:val="nil"/>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0.0661 </w:t>
            </w:r>
          </w:p>
        </w:tc>
      </w:tr>
    </w:tbl>
    <w:p>
      <w:pPr>
        <w:numPr>
          <w:ilvl w:val="0"/>
          <w:numId w:val="0"/>
        </w:numPr>
        <w:spacing w:line="360" w:lineRule="auto"/>
        <w:ind w:firstLine="420" w:firstLineChars="0"/>
        <w:rPr>
          <w:rFonts w:hint="default"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从表5可以看出，基于模型的预测都要优于“直接预测”，平均预测误差由7.57%提升至6.55%左右。三个模型（全模型、基于AIC选出的模型、BIC）的平均预测误差相差无几，AIC会优于BIC一些。但同全模型相比，AIC/BIC的模型相对简单，也为了解各财务指标的预测能力的重要性提供理论依据。进一步而言，从好的预测能力、简单和相对保守的角度来看，AIC所选择的模型能提供更多的理论思考。</w:t>
      </w:r>
    </w:p>
    <w:p>
      <w:pPr>
        <w:numPr>
          <w:ilvl w:val="0"/>
          <w:numId w:val="0"/>
        </w:numPr>
        <w:spacing w:line="360" w:lineRule="auto"/>
        <w:ind w:leftChars="0" w:firstLine="420" w:firstLineChars="0"/>
        <w:rPr>
          <w:rFonts w:hint="eastAsia" w:ascii="宋体" w:hAnsi="宋体" w:eastAsia="宋体" w:cs="宋体"/>
          <w:i w:val="0"/>
          <w:color w:val="000000"/>
          <w:kern w:val="0"/>
          <w:sz w:val="21"/>
          <w:szCs w:val="21"/>
          <w:u w:val="none"/>
          <w:lang w:val="en-US" w:eastAsia="zh-CN" w:bidi="ar"/>
        </w:rPr>
      </w:pPr>
    </w:p>
    <w:p>
      <w:pPr>
        <w:numPr>
          <w:ilvl w:val="0"/>
          <w:numId w:val="2"/>
        </w:numPr>
        <w:spacing w:line="360" w:lineRule="auto"/>
        <w:ind w:left="0" w:leftChars="0" w:firstLine="0" w:firstLineChars="0"/>
        <w:rPr>
          <w:rFonts w:hint="eastAsia"/>
          <w:b/>
          <w:bCs/>
          <w:sz w:val="24"/>
          <w:szCs w:val="32"/>
          <w:lang w:eastAsia="zh-CN"/>
        </w:rPr>
      </w:pPr>
      <w:r>
        <w:rPr>
          <w:rFonts w:hint="eastAsia"/>
          <w:b/>
          <w:bCs/>
          <w:sz w:val="24"/>
          <w:szCs w:val="32"/>
          <w:lang w:eastAsia="zh-CN"/>
        </w:rPr>
        <w:t>结论与建议</w:t>
      </w:r>
    </w:p>
    <w:p>
      <w:pPr>
        <w:spacing w:line="360" w:lineRule="auto"/>
        <w:ind w:firstLine="420" w:firstLineChars="0"/>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从上述分析结果来看，我国上市公司的财务指标数据为预测其下一年度的盈利情况提供了重要的信息，并且表现出一定的预测能力。具体而言，在选取的财务指标中，从保守和谨慎的角度来看，公司当年的</w:t>
      </w:r>
      <w:r>
        <w:rPr>
          <w:rFonts w:hint="eastAsia" w:ascii="宋体" w:hAnsi="宋体" w:eastAsia="宋体" w:cs="宋体"/>
          <w:b w:val="0"/>
          <w:bCs w:val="0"/>
          <w:sz w:val="21"/>
          <w:szCs w:val="24"/>
          <w:lang w:val="en-US" w:eastAsia="zh-CN"/>
        </w:rPr>
        <w:t>净资产收益率（</w:t>
      </w:r>
      <w:r>
        <w:rPr>
          <w:rFonts w:hint="eastAsia" w:ascii="宋体" w:hAnsi="宋体" w:eastAsia="宋体" w:cs="宋体"/>
          <w:i w:val="0"/>
          <w:color w:val="000000"/>
          <w:kern w:val="0"/>
          <w:sz w:val="21"/>
          <w:szCs w:val="21"/>
          <w:u w:val="none"/>
          <w:lang w:val="en-US" w:eastAsia="zh-CN" w:bidi="ar"/>
        </w:rPr>
        <w:t>ROE）、资产周转率（taTurnover）、对数转换的资产总计（logTAssets）、市净率（PB）、</w:t>
      </w:r>
      <w:r>
        <w:rPr>
          <w:rFonts w:hint="eastAsia"/>
          <w:b w:val="0"/>
          <w:bCs w:val="0"/>
          <w:sz w:val="21"/>
          <w:szCs w:val="24"/>
          <w:highlight w:val="none"/>
          <w:lang w:val="en-US" w:eastAsia="zh-CN"/>
        </w:rPr>
        <w:t>营业利润/营业总收入（opTR）、</w:t>
      </w:r>
      <w:r>
        <w:rPr>
          <w:rFonts w:hint="eastAsia"/>
          <w:b w:val="0"/>
          <w:bCs w:val="0"/>
          <w:sz w:val="21"/>
          <w:szCs w:val="24"/>
          <w:highlight w:val="none"/>
          <w:lang w:eastAsia="zh-CN"/>
        </w:rPr>
        <w:t>应收账款/营业收入（</w:t>
      </w:r>
      <w:r>
        <w:rPr>
          <w:rFonts w:hint="eastAsia"/>
          <w:b w:val="0"/>
          <w:bCs w:val="0"/>
          <w:sz w:val="21"/>
          <w:szCs w:val="24"/>
          <w:highlight w:val="none"/>
          <w:lang w:val="en-US" w:eastAsia="zh-CN"/>
        </w:rPr>
        <w:t>arR）这6个财务指标，对于预测公司下一年的净资产收益率</w:t>
      </w:r>
      <w:r>
        <w:rPr>
          <w:rFonts w:hint="eastAsia" w:ascii="宋体" w:hAnsi="宋体" w:eastAsia="宋体" w:cs="宋体"/>
          <w:b w:val="0"/>
          <w:bCs w:val="0"/>
          <w:sz w:val="21"/>
          <w:szCs w:val="24"/>
          <w:lang w:val="en-US" w:eastAsia="zh-CN"/>
        </w:rPr>
        <w:t>（</w:t>
      </w:r>
      <w:r>
        <w:rPr>
          <w:rFonts w:hint="eastAsia" w:ascii="宋体" w:hAnsi="宋体" w:eastAsia="宋体" w:cs="宋体"/>
          <w:i w:val="0"/>
          <w:color w:val="000000"/>
          <w:kern w:val="0"/>
          <w:sz w:val="21"/>
          <w:szCs w:val="21"/>
          <w:u w:val="none"/>
          <w:lang w:val="en-US" w:eastAsia="zh-CN" w:bidi="ar"/>
        </w:rPr>
        <w:t>ROE</w:t>
      </w:r>
      <w:r>
        <w:rPr>
          <w:rFonts w:hint="eastAsia" w:ascii="宋体" w:hAnsi="宋体" w:eastAsia="宋体" w:cs="宋体"/>
          <w:b w:val="0"/>
          <w:bCs w:val="0"/>
          <w:sz w:val="21"/>
          <w:szCs w:val="24"/>
          <w:lang w:val="en-US" w:eastAsia="zh-CN"/>
        </w:rPr>
        <w:t>f</w:t>
      </w:r>
      <w:r>
        <w:rPr>
          <w:rFonts w:hint="eastAsia" w:ascii="宋体" w:hAnsi="宋体" w:eastAsia="宋体" w:cs="宋体"/>
          <w:i w:val="0"/>
          <w:color w:val="000000"/>
          <w:kern w:val="0"/>
          <w:sz w:val="21"/>
          <w:szCs w:val="21"/>
          <w:u w:val="none"/>
          <w:lang w:val="en-US" w:eastAsia="zh-CN" w:bidi="ar"/>
        </w:rPr>
        <w:t>）很重要，其中前5个指标与</w:t>
      </w:r>
      <w:r>
        <w:rPr>
          <w:rFonts w:hint="eastAsia"/>
          <w:b w:val="0"/>
          <w:bCs w:val="0"/>
          <w:sz w:val="21"/>
          <w:szCs w:val="24"/>
          <w:highlight w:val="none"/>
          <w:lang w:val="en-US" w:eastAsia="zh-CN"/>
        </w:rPr>
        <w:t>下一年的净资产收益率</w:t>
      </w:r>
      <w:r>
        <w:rPr>
          <w:rFonts w:hint="eastAsia" w:ascii="宋体" w:hAnsi="宋体" w:eastAsia="宋体" w:cs="宋体"/>
          <w:b w:val="0"/>
          <w:bCs w:val="0"/>
          <w:sz w:val="21"/>
          <w:szCs w:val="24"/>
          <w:lang w:val="en-US" w:eastAsia="zh-CN"/>
        </w:rPr>
        <w:t>（</w:t>
      </w:r>
      <w:r>
        <w:rPr>
          <w:rFonts w:hint="eastAsia" w:ascii="宋体" w:hAnsi="宋体" w:eastAsia="宋体" w:cs="宋体"/>
          <w:i w:val="0"/>
          <w:color w:val="000000"/>
          <w:kern w:val="0"/>
          <w:sz w:val="21"/>
          <w:szCs w:val="21"/>
          <w:u w:val="none"/>
          <w:lang w:val="en-US" w:eastAsia="zh-CN" w:bidi="ar"/>
        </w:rPr>
        <w:t>ROE</w:t>
      </w:r>
      <w:r>
        <w:rPr>
          <w:rFonts w:hint="eastAsia" w:ascii="宋体" w:hAnsi="宋体" w:eastAsia="宋体" w:cs="宋体"/>
          <w:b w:val="0"/>
          <w:bCs w:val="0"/>
          <w:sz w:val="21"/>
          <w:szCs w:val="24"/>
          <w:lang w:val="en-US" w:eastAsia="zh-CN"/>
        </w:rPr>
        <w:t>f</w:t>
      </w:r>
      <w:r>
        <w:rPr>
          <w:rFonts w:hint="eastAsia" w:ascii="宋体" w:hAnsi="宋体" w:eastAsia="宋体" w:cs="宋体"/>
          <w:i w:val="0"/>
          <w:color w:val="000000"/>
          <w:kern w:val="0"/>
          <w:sz w:val="21"/>
          <w:szCs w:val="21"/>
          <w:u w:val="none"/>
          <w:lang w:val="en-US" w:eastAsia="zh-CN" w:bidi="ar"/>
        </w:rPr>
        <w:t>）有着正相关关系。</w:t>
      </w:r>
    </w:p>
    <w:p>
      <w:pPr>
        <w:spacing w:line="360" w:lineRule="auto"/>
        <w:ind w:firstLine="420" w:firstLineChars="0"/>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进一步发现，这6个财务指标主要取决于公司的规模大小、主营业务状况、市场供求状况和资产运营情况。推测原因如下：规模大的公司历史悠久，经营稳定且拥有充沛的物资资源，同时，较高的资产周转率则表明公司资产得到了合理利用，反映了公司的销售能力强，拥有较多的收入来源，而这类公司也往往受投资者所喜爱，因而容易获得较高的净资产收益率。相反，应收账款占比高的公司，通常行业竞争较大，呆账率相对较高。</w:t>
      </w:r>
    </w:p>
    <w:p>
      <w:pPr>
        <w:spacing w:line="360" w:lineRule="auto"/>
        <w:ind w:firstLine="420" w:firstLineChars="0"/>
        <w:rPr>
          <w:rFonts w:hint="default"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因此，我们的结论验证了优秀的经营管理能为公司和投资者创造良好的效益和利润，形成良性的市场效应。</w:t>
      </w:r>
    </w:p>
    <w:p>
      <w:pPr>
        <w:numPr>
          <w:ilvl w:val="0"/>
          <w:numId w:val="0"/>
        </w:numPr>
        <w:spacing w:line="360" w:lineRule="auto"/>
        <w:ind w:leftChars="0" w:firstLine="420" w:firstLineChars="0"/>
        <w:rPr>
          <w:rFonts w:hint="eastAsia" w:ascii="宋体" w:hAnsi="宋体" w:eastAsia="宋体" w:cs="宋体"/>
          <w:i w:val="0"/>
          <w:color w:val="000000"/>
          <w:kern w:val="0"/>
          <w:sz w:val="21"/>
          <w:szCs w:val="21"/>
          <w:u w:val="none"/>
          <w:lang w:val="en-US" w:eastAsia="zh-CN" w:bidi="ar"/>
        </w:rPr>
      </w:pPr>
    </w:p>
    <w:p>
      <w:pPr>
        <w:numPr>
          <w:numId w:val="0"/>
        </w:numPr>
        <w:spacing w:line="360" w:lineRule="auto"/>
        <w:ind w:leftChars="0"/>
        <w:rPr>
          <w:rFonts w:hint="default"/>
          <w:b/>
          <w:bCs/>
          <w:sz w:val="24"/>
          <w:szCs w:val="32"/>
          <w:lang w:val="en-US" w:eastAsia="zh-CN"/>
        </w:rPr>
      </w:pPr>
      <w:r>
        <w:rPr>
          <w:rFonts w:hint="eastAsia"/>
          <w:b/>
          <w:bCs/>
          <w:sz w:val="24"/>
          <w:szCs w:val="32"/>
          <w:lang w:val="en-US" w:eastAsia="zh-CN"/>
        </w:rPr>
        <w:t>[感想]</w:t>
      </w:r>
    </w:p>
    <w:p>
      <w:pPr>
        <w:numPr>
          <w:numId w:val="0"/>
        </w:numPr>
        <w:spacing w:line="360" w:lineRule="auto"/>
        <w:ind w:firstLine="420" w:firstLineChars="0"/>
        <w:rPr>
          <w:rFonts w:hint="eastAsia"/>
          <w:b w:val="0"/>
          <w:bCs w:val="0"/>
          <w:sz w:val="21"/>
          <w:szCs w:val="24"/>
          <w:highlight w:val="none"/>
          <w:lang w:val="en-US" w:eastAsia="zh-CN"/>
        </w:rPr>
      </w:pPr>
      <w:r>
        <w:rPr>
          <w:rFonts w:hint="eastAsia"/>
          <w:b w:val="0"/>
          <w:bCs w:val="0"/>
          <w:sz w:val="21"/>
          <w:szCs w:val="24"/>
          <w:highlight w:val="none"/>
          <w:lang w:val="en-US" w:eastAsia="zh-CN"/>
        </w:rPr>
        <w:t>总体来说，完成一项数据分析工作，主要包含方案确定、数据分析、相关调研、编写报告这四块：</w:t>
      </w:r>
    </w:p>
    <w:p>
      <w:pPr>
        <w:numPr>
          <w:ilvl w:val="0"/>
          <w:numId w:val="7"/>
        </w:numPr>
        <w:spacing w:line="360" w:lineRule="auto"/>
        <w:ind w:left="420" w:leftChars="0" w:hanging="420" w:firstLineChars="0"/>
        <w:rPr>
          <w:rFonts w:hint="default"/>
          <w:b w:val="0"/>
          <w:bCs w:val="0"/>
          <w:sz w:val="21"/>
          <w:szCs w:val="24"/>
          <w:highlight w:val="none"/>
          <w:lang w:val="en-US" w:eastAsia="zh-CN"/>
        </w:rPr>
      </w:pPr>
      <w:r>
        <w:rPr>
          <w:rFonts w:hint="eastAsia"/>
          <w:b w:val="0"/>
          <w:bCs w:val="0"/>
          <w:sz w:val="21"/>
          <w:szCs w:val="24"/>
          <w:highlight w:val="none"/>
          <w:lang w:val="en-US" w:eastAsia="zh-CN"/>
        </w:rPr>
        <w:t>方案确定：包含围绕解决问题所确认的目标，结果使用方向，数据范围与来源等；</w:t>
      </w:r>
    </w:p>
    <w:p>
      <w:pPr>
        <w:numPr>
          <w:ilvl w:val="0"/>
          <w:numId w:val="7"/>
        </w:numPr>
        <w:spacing w:line="360" w:lineRule="auto"/>
        <w:ind w:left="420" w:leftChars="0" w:hanging="420" w:firstLineChars="0"/>
        <w:rPr>
          <w:rFonts w:hint="default"/>
          <w:b w:val="0"/>
          <w:bCs w:val="0"/>
          <w:sz w:val="21"/>
          <w:szCs w:val="24"/>
          <w:highlight w:val="none"/>
          <w:lang w:val="en-US" w:eastAsia="zh-CN"/>
        </w:rPr>
      </w:pPr>
      <w:r>
        <w:rPr>
          <w:rFonts w:hint="eastAsia"/>
          <w:b w:val="0"/>
          <w:bCs w:val="0"/>
          <w:sz w:val="21"/>
          <w:szCs w:val="24"/>
          <w:highlight w:val="none"/>
          <w:lang w:val="en-US" w:eastAsia="zh-CN"/>
        </w:rPr>
        <w:t>数据分析：包含数据采集、数据清洗、描述分析、数据建模、模型预测、模型评估优化等；</w:t>
      </w:r>
    </w:p>
    <w:p>
      <w:pPr>
        <w:numPr>
          <w:ilvl w:val="0"/>
          <w:numId w:val="7"/>
        </w:numPr>
        <w:spacing w:line="360" w:lineRule="auto"/>
        <w:ind w:left="420" w:leftChars="0" w:hanging="420" w:firstLineChars="0"/>
        <w:rPr>
          <w:rFonts w:hint="default"/>
          <w:b w:val="0"/>
          <w:bCs w:val="0"/>
          <w:sz w:val="21"/>
          <w:szCs w:val="24"/>
          <w:highlight w:val="none"/>
          <w:lang w:val="en-US" w:eastAsia="zh-CN"/>
        </w:rPr>
      </w:pPr>
      <w:r>
        <w:rPr>
          <w:rFonts w:hint="eastAsia"/>
          <w:b w:val="0"/>
          <w:bCs w:val="0"/>
          <w:sz w:val="21"/>
          <w:szCs w:val="24"/>
          <w:highlight w:val="none"/>
          <w:lang w:val="en-US" w:eastAsia="zh-CN"/>
        </w:rPr>
        <w:t>相关调研：包含变量含义，异常分析，模型优化方法等；</w:t>
      </w:r>
    </w:p>
    <w:p>
      <w:pPr>
        <w:numPr>
          <w:ilvl w:val="0"/>
          <w:numId w:val="7"/>
        </w:numPr>
        <w:spacing w:line="360" w:lineRule="auto"/>
        <w:ind w:left="420" w:leftChars="0" w:hanging="420" w:firstLineChars="0"/>
        <w:rPr>
          <w:rFonts w:hint="default"/>
          <w:b w:val="0"/>
          <w:bCs w:val="0"/>
          <w:sz w:val="21"/>
          <w:szCs w:val="24"/>
          <w:highlight w:val="none"/>
          <w:lang w:val="en-US" w:eastAsia="zh-CN"/>
        </w:rPr>
      </w:pPr>
      <w:r>
        <w:rPr>
          <w:rFonts w:hint="eastAsia"/>
          <w:b w:val="0"/>
          <w:bCs w:val="0"/>
          <w:sz w:val="21"/>
          <w:szCs w:val="24"/>
          <w:highlight w:val="none"/>
          <w:lang w:val="en-US" w:eastAsia="zh-CN"/>
        </w:rPr>
        <w:t>编写报告：将上述工作内容和分析结果通过文字和图表的方式，呈现给需求方。注意文字的通俗易懂，思路的清晰，数据和业务相结合。</w:t>
      </w:r>
    </w:p>
    <w:p>
      <w:pPr>
        <w:numPr>
          <w:numId w:val="0"/>
        </w:numPr>
        <w:spacing w:line="360" w:lineRule="auto"/>
        <w:ind w:firstLine="420" w:firstLineChars="0"/>
        <w:rPr>
          <w:rFonts w:hint="eastAsia"/>
          <w:b w:val="0"/>
          <w:bCs w:val="0"/>
          <w:sz w:val="21"/>
          <w:szCs w:val="24"/>
          <w:highlight w:val="none"/>
          <w:lang w:val="en-US" w:eastAsia="zh-CN"/>
        </w:rPr>
      </w:pPr>
      <w:r>
        <w:rPr>
          <w:rFonts w:hint="eastAsia"/>
          <w:b w:val="0"/>
          <w:bCs w:val="0"/>
          <w:sz w:val="21"/>
          <w:szCs w:val="24"/>
          <w:highlight w:val="none"/>
          <w:lang w:val="en-US" w:eastAsia="zh-CN"/>
        </w:rPr>
        <w:t>在编写报告时，发现自己存在很多不足：</w:t>
      </w:r>
    </w:p>
    <w:p>
      <w:pPr>
        <w:numPr>
          <w:ilvl w:val="0"/>
          <w:numId w:val="7"/>
        </w:numPr>
        <w:spacing w:line="360" w:lineRule="auto"/>
        <w:ind w:left="420" w:leftChars="0" w:hanging="420" w:firstLineChars="0"/>
        <w:rPr>
          <w:rFonts w:hint="eastAsia"/>
          <w:b w:val="0"/>
          <w:bCs w:val="0"/>
          <w:sz w:val="21"/>
          <w:szCs w:val="24"/>
          <w:highlight w:val="none"/>
          <w:lang w:val="en-US" w:eastAsia="zh-CN"/>
        </w:rPr>
      </w:pPr>
      <w:r>
        <w:rPr>
          <w:rFonts w:hint="eastAsia"/>
          <w:b w:val="0"/>
          <w:bCs w:val="0"/>
          <w:sz w:val="21"/>
          <w:szCs w:val="24"/>
          <w:highlight w:val="none"/>
          <w:lang w:val="en-US" w:eastAsia="zh-CN"/>
        </w:rPr>
        <w:t>语言表达较为欠缺，因此报告中很多表述结构引用原文；</w:t>
      </w:r>
    </w:p>
    <w:p>
      <w:pPr>
        <w:numPr>
          <w:ilvl w:val="0"/>
          <w:numId w:val="7"/>
        </w:numPr>
        <w:spacing w:line="360" w:lineRule="auto"/>
        <w:ind w:left="420" w:leftChars="0" w:hanging="420" w:firstLineChars="0"/>
        <w:rPr>
          <w:rFonts w:hint="eastAsia"/>
          <w:b w:val="0"/>
          <w:bCs w:val="0"/>
          <w:sz w:val="21"/>
          <w:szCs w:val="24"/>
          <w:highlight w:val="none"/>
          <w:lang w:val="en-US" w:eastAsia="zh-CN"/>
        </w:rPr>
      </w:pPr>
      <w:r>
        <w:rPr>
          <w:rFonts w:hint="eastAsia"/>
          <w:b w:val="0"/>
          <w:bCs w:val="0"/>
          <w:sz w:val="21"/>
          <w:szCs w:val="24"/>
          <w:highlight w:val="none"/>
          <w:lang w:val="en-US" w:eastAsia="zh-CN"/>
        </w:rPr>
        <w:t>专业知识积累不够，理论知识与实践不能结合，如模型诊断和参数估计分析；</w:t>
      </w:r>
    </w:p>
    <w:p>
      <w:pPr>
        <w:numPr>
          <w:ilvl w:val="0"/>
          <w:numId w:val="7"/>
        </w:numPr>
        <w:spacing w:line="360" w:lineRule="auto"/>
        <w:ind w:left="420" w:leftChars="0" w:hanging="420" w:firstLineChars="0"/>
        <w:rPr>
          <w:rFonts w:hint="default"/>
          <w:b w:val="0"/>
          <w:bCs w:val="0"/>
          <w:sz w:val="21"/>
          <w:szCs w:val="24"/>
          <w:highlight w:val="none"/>
          <w:lang w:val="en-US" w:eastAsia="zh-CN"/>
        </w:rPr>
      </w:pPr>
      <w:r>
        <w:rPr>
          <w:rFonts w:hint="eastAsia"/>
          <w:b w:val="0"/>
          <w:bCs w:val="0"/>
          <w:sz w:val="21"/>
          <w:szCs w:val="24"/>
          <w:highlight w:val="none"/>
          <w:lang w:val="en-US" w:eastAsia="zh-CN"/>
        </w:rPr>
        <w:t>不能快速透过数据看业务。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970278"/>
    <w:multiLevelType w:val="singleLevel"/>
    <w:tmpl w:val="B8970278"/>
    <w:lvl w:ilvl="0" w:tentative="0">
      <w:start w:val="1"/>
      <w:numFmt w:val="decimal"/>
      <w:suff w:val="space"/>
      <w:lvlText w:val="%1."/>
      <w:lvlJc w:val="left"/>
    </w:lvl>
  </w:abstractNum>
  <w:abstractNum w:abstractNumId="1">
    <w:nsid w:val="E7A51A1A"/>
    <w:multiLevelType w:val="singleLevel"/>
    <w:tmpl w:val="E7A51A1A"/>
    <w:lvl w:ilvl="0" w:tentative="0">
      <w:start w:val="3"/>
      <w:numFmt w:val="chineseCounting"/>
      <w:suff w:val="nothing"/>
      <w:lvlText w:val="%1、"/>
      <w:lvlJc w:val="left"/>
      <w:rPr>
        <w:rFonts w:hint="eastAsia"/>
      </w:rPr>
    </w:lvl>
  </w:abstractNum>
  <w:abstractNum w:abstractNumId="2">
    <w:nsid w:val="1AF7D61E"/>
    <w:multiLevelType w:val="singleLevel"/>
    <w:tmpl w:val="1AF7D61E"/>
    <w:lvl w:ilvl="0" w:tentative="0">
      <w:start w:val="1"/>
      <w:numFmt w:val="bullet"/>
      <w:lvlText w:val=""/>
      <w:lvlJc w:val="left"/>
      <w:pPr>
        <w:ind w:left="420" w:hanging="420"/>
      </w:pPr>
      <w:rPr>
        <w:rFonts w:hint="default" w:ascii="Wingdings" w:hAnsi="Wingdings"/>
      </w:rPr>
    </w:lvl>
  </w:abstractNum>
  <w:abstractNum w:abstractNumId="3">
    <w:nsid w:val="3154D48F"/>
    <w:multiLevelType w:val="singleLevel"/>
    <w:tmpl w:val="3154D48F"/>
    <w:lvl w:ilvl="0" w:tentative="0">
      <w:start w:val="1"/>
      <w:numFmt w:val="bullet"/>
      <w:lvlText w:val=""/>
      <w:lvlJc w:val="left"/>
      <w:pPr>
        <w:ind w:left="420" w:hanging="420"/>
      </w:pPr>
      <w:rPr>
        <w:rFonts w:hint="default" w:ascii="Wingdings" w:hAnsi="Wingdings"/>
      </w:rPr>
    </w:lvl>
  </w:abstractNum>
  <w:abstractNum w:abstractNumId="4">
    <w:nsid w:val="3168027C"/>
    <w:multiLevelType w:val="singleLevel"/>
    <w:tmpl w:val="3168027C"/>
    <w:lvl w:ilvl="0" w:tentative="0">
      <w:start w:val="1"/>
      <w:numFmt w:val="decimal"/>
      <w:suff w:val="space"/>
      <w:lvlText w:val="%1."/>
      <w:lvlJc w:val="left"/>
    </w:lvl>
  </w:abstractNum>
  <w:abstractNum w:abstractNumId="5">
    <w:nsid w:val="3DC10E10"/>
    <w:multiLevelType w:val="singleLevel"/>
    <w:tmpl w:val="3DC10E10"/>
    <w:lvl w:ilvl="0" w:tentative="0">
      <w:start w:val="1"/>
      <w:numFmt w:val="bullet"/>
      <w:lvlText w:val=""/>
      <w:lvlJc w:val="left"/>
      <w:pPr>
        <w:ind w:left="420" w:hanging="420"/>
      </w:pPr>
      <w:rPr>
        <w:rFonts w:hint="default" w:ascii="Wingdings" w:hAnsi="Wingdings"/>
      </w:rPr>
    </w:lvl>
  </w:abstractNum>
  <w:abstractNum w:abstractNumId="6">
    <w:nsid w:val="65D79389"/>
    <w:multiLevelType w:val="singleLevel"/>
    <w:tmpl w:val="65D79389"/>
    <w:lvl w:ilvl="0" w:tentative="0">
      <w:start w:val="1"/>
      <w:numFmt w:val="bullet"/>
      <w:lvlText w:val=""/>
      <w:lvlJc w:val="left"/>
      <w:pPr>
        <w:ind w:left="420" w:hanging="420"/>
      </w:pPr>
      <w:rPr>
        <w:rFonts w:hint="default" w:ascii="Wingdings" w:hAnsi="Wingdings"/>
      </w:rPr>
    </w:lvl>
  </w:abstractNum>
  <w:num w:numId="1">
    <w:abstractNumId w:val="5"/>
  </w:num>
  <w:num w:numId="2">
    <w:abstractNumId w:val="1"/>
  </w:num>
  <w:num w:numId="3">
    <w:abstractNumId w:val="6"/>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94756"/>
    <w:rsid w:val="025E24A3"/>
    <w:rsid w:val="03D35A8D"/>
    <w:rsid w:val="03F23D2C"/>
    <w:rsid w:val="04B00631"/>
    <w:rsid w:val="05676E95"/>
    <w:rsid w:val="05A4106B"/>
    <w:rsid w:val="05D27ED6"/>
    <w:rsid w:val="07E163B1"/>
    <w:rsid w:val="08033829"/>
    <w:rsid w:val="08AA6727"/>
    <w:rsid w:val="090E7B2D"/>
    <w:rsid w:val="09676398"/>
    <w:rsid w:val="0C054827"/>
    <w:rsid w:val="0C8E1C04"/>
    <w:rsid w:val="0CB62953"/>
    <w:rsid w:val="0D136EBA"/>
    <w:rsid w:val="0E663813"/>
    <w:rsid w:val="0E9B3DDA"/>
    <w:rsid w:val="0F057008"/>
    <w:rsid w:val="0F7E2158"/>
    <w:rsid w:val="0FA620CD"/>
    <w:rsid w:val="100A1125"/>
    <w:rsid w:val="10314550"/>
    <w:rsid w:val="10A5560D"/>
    <w:rsid w:val="11965851"/>
    <w:rsid w:val="11AB2F33"/>
    <w:rsid w:val="11D24524"/>
    <w:rsid w:val="128E0754"/>
    <w:rsid w:val="12C44D02"/>
    <w:rsid w:val="12FB644A"/>
    <w:rsid w:val="13D76B16"/>
    <w:rsid w:val="162F3108"/>
    <w:rsid w:val="18255731"/>
    <w:rsid w:val="1ACE70BD"/>
    <w:rsid w:val="1AE23E1D"/>
    <w:rsid w:val="1BD4287E"/>
    <w:rsid w:val="1D2973DD"/>
    <w:rsid w:val="1DD84F59"/>
    <w:rsid w:val="1EAC318A"/>
    <w:rsid w:val="1FAA2172"/>
    <w:rsid w:val="1FAE1C4A"/>
    <w:rsid w:val="215E6F53"/>
    <w:rsid w:val="216870A1"/>
    <w:rsid w:val="21A31446"/>
    <w:rsid w:val="229B43EA"/>
    <w:rsid w:val="24177F10"/>
    <w:rsid w:val="24BB5A55"/>
    <w:rsid w:val="24DB606D"/>
    <w:rsid w:val="25C928ED"/>
    <w:rsid w:val="2839270A"/>
    <w:rsid w:val="28CC1774"/>
    <w:rsid w:val="28E66540"/>
    <w:rsid w:val="29AC3BFF"/>
    <w:rsid w:val="2AFC672C"/>
    <w:rsid w:val="2C69053F"/>
    <w:rsid w:val="2C9811FD"/>
    <w:rsid w:val="2FB34AC3"/>
    <w:rsid w:val="3437517D"/>
    <w:rsid w:val="34CA2C38"/>
    <w:rsid w:val="35224241"/>
    <w:rsid w:val="354B3730"/>
    <w:rsid w:val="36741DC3"/>
    <w:rsid w:val="373D61CF"/>
    <w:rsid w:val="380656EC"/>
    <w:rsid w:val="399245CC"/>
    <w:rsid w:val="3AE405FE"/>
    <w:rsid w:val="3B5E74F1"/>
    <w:rsid w:val="3DC75F90"/>
    <w:rsid w:val="3E077F07"/>
    <w:rsid w:val="3FA93E31"/>
    <w:rsid w:val="418B5BA5"/>
    <w:rsid w:val="425305B3"/>
    <w:rsid w:val="42DA25A5"/>
    <w:rsid w:val="43D26EB2"/>
    <w:rsid w:val="43EB04B5"/>
    <w:rsid w:val="44E806A5"/>
    <w:rsid w:val="46827CDC"/>
    <w:rsid w:val="483D3612"/>
    <w:rsid w:val="4B1861F4"/>
    <w:rsid w:val="4C1E5B0E"/>
    <w:rsid w:val="4CA918BE"/>
    <w:rsid w:val="4E7D459E"/>
    <w:rsid w:val="4F992A9B"/>
    <w:rsid w:val="502E5A9C"/>
    <w:rsid w:val="50DC4249"/>
    <w:rsid w:val="51204D7A"/>
    <w:rsid w:val="5131653C"/>
    <w:rsid w:val="5133205A"/>
    <w:rsid w:val="52EE0A74"/>
    <w:rsid w:val="5324589B"/>
    <w:rsid w:val="53B8214B"/>
    <w:rsid w:val="55E55D52"/>
    <w:rsid w:val="56105119"/>
    <w:rsid w:val="58D0294C"/>
    <w:rsid w:val="5A277900"/>
    <w:rsid w:val="5A841043"/>
    <w:rsid w:val="5B466709"/>
    <w:rsid w:val="5BF90D07"/>
    <w:rsid w:val="5C5B3FC0"/>
    <w:rsid w:val="5CB5611A"/>
    <w:rsid w:val="5F3D71F0"/>
    <w:rsid w:val="5F6E1331"/>
    <w:rsid w:val="5FA40D2F"/>
    <w:rsid w:val="5FA727F3"/>
    <w:rsid w:val="5FC11A2C"/>
    <w:rsid w:val="60896463"/>
    <w:rsid w:val="615E5C16"/>
    <w:rsid w:val="625536D8"/>
    <w:rsid w:val="62663578"/>
    <w:rsid w:val="630C50C3"/>
    <w:rsid w:val="663B4DB7"/>
    <w:rsid w:val="66EB471C"/>
    <w:rsid w:val="67407B96"/>
    <w:rsid w:val="67F27130"/>
    <w:rsid w:val="681A1004"/>
    <w:rsid w:val="6839352E"/>
    <w:rsid w:val="685C2C27"/>
    <w:rsid w:val="6A372753"/>
    <w:rsid w:val="6A3C6715"/>
    <w:rsid w:val="6CCC59E9"/>
    <w:rsid w:val="6D3F6021"/>
    <w:rsid w:val="6ED31C01"/>
    <w:rsid w:val="6FC83FFD"/>
    <w:rsid w:val="6FE82A37"/>
    <w:rsid w:val="700B5393"/>
    <w:rsid w:val="70397EC8"/>
    <w:rsid w:val="704162F3"/>
    <w:rsid w:val="708560AA"/>
    <w:rsid w:val="71392521"/>
    <w:rsid w:val="71B1620A"/>
    <w:rsid w:val="71FA5FD8"/>
    <w:rsid w:val="73661170"/>
    <w:rsid w:val="73CA05C1"/>
    <w:rsid w:val="74E4383D"/>
    <w:rsid w:val="766466D4"/>
    <w:rsid w:val="77C55347"/>
    <w:rsid w:val="79BD43FE"/>
    <w:rsid w:val="79E34377"/>
    <w:rsid w:val="79F31AE9"/>
    <w:rsid w:val="7CB63B98"/>
    <w:rsid w:val="7CE7369B"/>
    <w:rsid w:val="7DF527A2"/>
    <w:rsid w:val="7EF83F60"/>
    <w:rsid w:val="7F07754A"/>
    <w:rsid w:val="7FEA7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4221</Words>
  <Characters>5358</Characters>
  <Lines>0</Lines>
  <Paragraphs>0</Paragraphs>
  <TotalTime>466</TotalTime>
  <ScaleCrop>false</ScaleCrop>
  <LinksUpToDate>false</LinksUpToDate>
  <CharactersWithSpaces>5449</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X君1399982153</cp:lastModifiedBy>
  <dcterms:modified xsi:type="dcterms:W3CDTF">2019-06-04T10:12:34Z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