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Methods 1. Data sources, scope definition, and filtering rules</w:t>
      </w:r>
    </w:p>
    <w:p>
      <w:pPr>
        <w:pStyle w:val="Heading3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SM1.1 Evidence domains and claim boundaries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Molecular learning cohort. </w:t>
      </w:r>
      <w:r>
        <w:rPr>
          <w:rFonts w:ascii="Times New Roman" w:hAnsi="Times New Roman" w:eastAsia="Times New Roman"/>
          <w:color w:val="000000"/>
          <w:sz w:val="24"/>
        </w:rPr>
        <w:t>Molecular geometry and property analyses used a frozen 48,057-record tmQM/GFN2-xTB cohort.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36</w:t>
      </w:r>
      <w:r>
        <w:rPr>
          <w:rFonts w:ascii="Times New Roman" w:hAnsi="Times New Roman" w:eastAsia="Times New Roman"/>
          <w:color w:val="000000"/>
          <w:sz w:val="24"/>
        </w:rPr>
        <w:t xml:space="preserve"> The same molecular cohort underlies the Figure 3 CShM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19–21</w:t>
      </w:r>
      <w:r>
        <w:rPr>
          <w:rFonts w:ascii="Times New Roman" w:hAnsi="Times New Roman" w:eastAsia="Times New Roman"/>
          <w:color w:val="000000"/>
          <w:sz w:val="24"/>
        </w:rPr>
        <w:t xml:space="preserve"> atlases and the graph-grouped Figure 4 property benchmarks. GINE,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43</w:t>
      </w:r>
      <w:r>
        <w:rPr>
          <w:rFonts w:ascii="Times New Roman" w:hAnsi="Times New Roman" w:eastAsia="Times New Roman"/>
          <w:color w:val="000000"/>
          <w:sz w:val="24"/>
        </w:rPr>
        <w:t xml:space="preserve"> SchNet,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44</w:t>
      </w:r>
      <w:r>
        <w:rPr>
          <w:rFonts w:ascii="Times New Roman" w:hAnsi="Times New Roman" w:eastAsia="Times New Roman"/>
          <w:color w:val="000000"/>
          <w:sz w:val="24"/>
        </w:rPr>
        <w:t xml:space="preserve"> ViSNet,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45</w:t>
      </w:r>
      <w:r>
        <w:rPr>
          <w:rFonts w:ascii="Times New Roman" w:hAnsi="Times New Roman" w:eastAsia="Times New Roman"/>
          <w:color w:val="000000"/>
          <w:sz w:val="24"/>
        </w:rPr>
        <w:t xml:space="preserve"> and matched CoordRep hybrids were evaluated under the same graph-grouped outer-fold assignments.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Release-wide CSD structural audit. </w:t>
      </w:r>
      <w:r>
        <w:rPr>
          <w:rFonts w:ascii="Times New Roman" w:hAnsi="Times New Roman" w:eastAsia="Times New Roman"/>
          <w:color w:val="000000"/>
          <w:sz w:val="24"/>
        </w:rPr>
        <w:t>The locally installed April 2025 CSD snapshot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11</w:t>
      </w:r>
      <w:r>
        <w:rPr>
          <w:rFonts w:ascii="Times New Roman" w:hAnsi="Times New Roman" w:eastAsia="Times New Roman"/>
          <w:color w:val="000000"/>
          <w:sz w:val="24"/>
        </w:rPr>
        <w:t xml:space="preserve"> was scanned in full. Among 1,371,757 entries, 783,263 contain at least one atom in the frozen metal domain. Of these, 746,511 meet the deposited-structure criterion and form the operational structural-audit target; the remaining 36,752 are retained as census-only entries. All 746,511 target entries yielded schema-valid records and passed independent source-fidelity validation. Source-supported structural records were retained for 2,574,081 of 2,608,448 metal sites (98.68%).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Molecular identity analyses. </w:t>
      </w:r>
      <w:r>
        <w:rPr>
          <w:rFonts w:ascii="Times New Roman" w:hAnsi="Times New Roman" w:eastAsia="Times New Roman"/>
          <w:color w:val="000000"/>
          <w:sz w:val="24"/>
        </w:rPr>
        <w:t>The previously defined strict mononuclear η¹ core contains 101,878 records, whereas the connectivity-supported molecular tier contains 84,453 records. The latter is used for L0–L3 family analysis; 3,491 multi-record CSD refcode families comprising 9,056 records form the main-text identity benchmark. These frozen, d-block-focused molecular tiers are used only for the analyses for which they were defined and are not independent release-wide census denominators.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Periodic local-state analysis. </w:t>
      </w:r>
      <w:r>
        <w:rPr>
          <w:rFonts w:ascii="Times New Roman" w:hAnsi="Times New Roman" w:eastAsia="Times New Roman"/>
          <w:color w:val="000000"/>
          <w:sz w:val="24"/>
        </w:rPr>
        <w:t>Translation-resolved periodic analyses used the separately distributed 15,906-entry CSD MOF Collection.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60,61</w:t>
      </w:r>
      <w:r>
        <w:rPr>
          <w:rFonts w:ascii="Times New Roman" w:hAnsi="Times New Roman" w:eastAsia="Times New Roman"/>
          <w:color w:val="000000"/>
          <w:sz w:val="24"/>
        </w:rPr>
        <w:t xml:space="preserve"> Canonical processing completed for 15,905 entries; 10,948 entries emitted at least one accepted CN = 2–6 local metal-site state, producing 172,332 states. These records describe periodic local first coordination spheres and their metric/stereo identities rather than whole-framework net identities.</w:t>
      </w:r>
    </w:p>
    <w:p>
      <w:pPr>
        <w:pStyle w:val="Heading3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SM1.2 Data sources, versions, and frozen metal policy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Crystallographic source and runtime. </w:t>
      </w:r>
      <w:r>
        <w:rPr>
          <w:rFonts w:ascii="Times New Roman" w:hAnsi="Times New Roman" w:eastAsia="Times New Roman"/>
          <w:color w:val="000000"/>
          <w:sz w:val="24"/>
        </w:rPr>
        <w:t>The release-wide audit used the April 2025 CSD (version 6.00; 1,371,757 entries) and CSD Python API</w:t>
      </w:r>
      <w:r>
        <w:rPr>
          <w:rFonts w:ascii="Times New Roman" w:hAnsi="Times New Roman" w:eastAsia="Times New Roman"/>
          <w:color w:val="000000"/>
          <w:sz w:val="24"/>
          <w:vertAlign w:val="superscript"/>
        </w:rPr>
        <w:t>58</w:t>
      </w:r>
      <w:r>
        <w:rPr>
          <w:rFonts w:ascii="Times New Roman" w:hAnsi="Times New Roman" w:eastAsia="Times New Roman"/>
          <w:color w:val="000000"/>
          <w:sz w:val="24"/>
        </w:rPr>
        <w:t xml:space="preserve"> version 3.6.0. The source release, API version, analysis code, database fingerprint, and aggregate outputs were frozen before the reported counts were generated.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Frozen metal-domain policy. </w:t>
      </w:r>
      <w:r>
        <w:rPr>
          <w:rFonts w:ascii="Times New Roman" w:hAnsi="Times New Roman" w:eastAsia="Times New Roman"/>
          <w:color w:val="000000"/>
          <w:sz w:val="24"/>
        </w:rPr>
        <w:t xml:space="preserve">Metal membership was defined once by evaluating </w:t>
      </w:r>
      <w:r>
        <w:rPr>
          <w:rFonts w:ascii="Cascadia Code" w:hAnsi="Cascadia Code" w:eastAsia="Cascadia Code"/>
          <w:color w:val="000000"/>
          <w:sz w:val="22"/>
        </w:rPr>
        <w:t>ccdc.molecule.Atom.is_metal</w:t>
      </w:r>
      <w:r>
        <w:rPr>
          <w:rFonts w:ascii="Times New Roman" w:hAnsi="Times New Roman" w:eastAsia="Times New Roman"/>
          <w:color w:val="000000"/>
          <w:sz w:val="24"/>
        </w:rPr>
        <w:t xml:space="preserve"> under API version 3.6.0 and storing the resulting 96-symbol set together with a frozen policy identifier and SHA-256 digest. Freezing the symbol list prevents later API revisions from changing the census. Seventy-four policy symbols occur in the complete April 2025 release and 72 occur in the structural-audit target. This is an operational database policy spanning s-, p-, d-, and f-block metals rather than a restriction to transition metals or evidence that every policy symbol occurs in the analyzed release.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Redistribution policy. </w:t>
      </w:r>
      <w:r>
        <w:rPr>
          <w:rFonts w:ascii="Times New Roman" w:hAnsi="Times New Roman" w:eastAsia="Times New Roman"/>
          <w:color w:val="000000"/>
          <w:sz w:val="24"/>
        </w:rPr>
        <w:t>Raw licensed CSD coordinates and structure files are not redistributed. Public reproducibility materials contain permitted aggregate counts, scope and status definitions, figure-source tables, run provenance, software and policy fingerprints, and SHA-256 commitments to the internal row-level outputs.</w:t>
      </w:r>
    </w:p>
    <w:p>
      <w:pPr>
        <w:pStyle w:val="Heading3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SM1.3 Release-wide census and structural-audit target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Census filter. </w:t>
      </w:r>
      <w:r>
        <w:rPr>
          <w:rFonts w:ascii="Times New Roman" w:hAnsi="Times New Roman" w:eastAsia="Times New Roman"/>
          <w:color w:val="000000"/>
          <w:sz w:val="24"/>
        </w:rPr>
        <w:t>Every CSD entry was screened independently of structural-record support. An entry was classified as metal-containing when its native CSD molecular object contained at least one atom whose symbol belonged to the frozen metal set. This release-wide screen identified 783,263 metal-containing entries.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Structural-audit inclusion. </w:t>
      </w:r>
      <w:r>
        <w:rPr>
          <w:rFonts w:ascii="Times New Roman" w:hAnsi="Times New Roman" w:eastAsia="Times New Roman"/>
          <w:color w:val="000000"/>
          <w:sz w:val="24"/>
        </w:rPr>
        <w:t>The operational target was then defined as the 746,511 metal-containing entries for which the CSD API reported a deposited three-dimensional structure (</w:t>
      </w:r>
      <w:r>
        <w:rPr>
          <w:rFonts w:ascii="Cascadia Code" w:hAnsi="Cascadia Code" w:eastAsia="Cascadia Code"/>
          <w:color w:val="000000"/>
          <w:sz w:val="22"/>
        </w:rPr>
        <w:t>entry.has_3d_structure = True</w:t>
      </w:r>
      <w:r>
        <w:rPr>
          <w:rFonts w:ascii="Times New Roman" w:hAnsi="Times New Roman" w:eastAsia="Times New Roman"/>
          <w:color w:val="000000"/>
          <w:sz w:val="24"/>
        </w:rPr>
        <w:t>). The remaining 36,752 metal-containing entries remain part of the census but lie outside the structural-audit denominator; they are not conversion failures. This deposited-structure filter is a study-level inclusion criterion for the present audit, not a grammar-level requirement of CoordRep.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Entry-class partition. </w:t>
      </w:r>
      <w:r>
        <w:rPr>
          <w:rFonts w:ascii="Times New Roman" w:hAnsi="Times New Roman" w:eastAsia="Times New Roman"/>
          <w:color w:val="000000"/>
          <w:sz w:val="24"/>
        </w:rPr>
        <w:t>The target was partitioned into 298,932 strict nonpolymeric single-metal entries, 295,164 nonpolymeric multimetal entries, and 152,415 polymeric entries. Polymeric status takes precedence over metal-site multiplicity; the three classes are therefore mutually exclusive and sum to 746,511.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Metal-block reporting. </w:t>
      </w:r>
      <w:r>
        <w:rPr>
          <w:rFonts w:ascii="Times New Roman" w:hAnsi="Times New Roman" w:eastAsia="Times New Roman"/>
          <w:color w:val="000000"/>
          <w:sz w:val="24"/>
        </w:rPr>
        <w:t>Block-presence counts are nonexclusive because a mixed-metal entry may contain metals from more than one periodic-table block. For closed accounting, Supplementary Table S9A instead reports mutually exclusive s-only, p-only, d-only, f-only, and mixed-block signatures, which also sum to 746,511.</w:t>
      </w:r>
    </w:p>
    <w:p>
      <w:pPr>
        <w:pStyle w:val="Heading3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SM1.4 Native-source construction and record-resolution rules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Native-source construction. </w:t>
      </w:r>
      <w:r>
        <w:rPr>
          <w:rFonts w:ascii="Times New Roman" w:hAnsi="Times New Roman" w:eastAsia="Times New Roman"/>
          <w:color w:val="000000"/>
          <w:sz w:val="24"/>
        </w:rPr>
        <w:t>Records were constructed from the native molecular objects and bond relations supplied by the CSD API. No distance-derived metal–donor contact was added and no absent coordination bond was imputed. Native donor incidences, shared-donor relations, direct metal–metal bonds, haptic/π membership, and periodic image translations were retained at the highest resolution supported by the source object. High coordination number, disorder, incomplete geometry, collective-site ambiguity, and unresolved periodic translation lowered the retained resolution or generated an explicit issue flag rather than causing silent exclusion.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Site-level resolution. </w:t>
      </w:r>
      <w:r>
        <w:rPr>
          <w:rFonts w:ascii="Times New Roman" w:hAnsi="Times New Roman" w:eastAsia="Times New Roman"/>
          <w:color w:val="000000"/>
          <w:sz w:val="24"/>
        </w:rPr>
        <w:t>A metal site was classified as structural when at least one qualifying CSD-native donor incidence or native metal-center relation was retained. A site without either relation was retained explicitly as audit-only. At least one structural site was retained in 741,402 entries (99.32%), every metal site was structural in 733,004 entries (98.19%), and 34,367 of the 2,608,448 metal sites were audit-only.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Geometry-field resolution. </w:t>
      </w:r>
      <w:r>
        <w:rPr>
          <w:rFonts w:ascii="Times New Roman" w:hAnsi="Times New Roman" w:eastAsia="Times New Roman"/>
          <w:color w:val="000000"/>
          <w:sz w:val="24"/>
        </w:rPr>
        <w:t>A CShM vector was not required for schema-valid record emission. Each metal site was assigned the most informative supported geometry field: CShM for 1,922,425 sites, a distance–angle profile for 623,137, metal-graph topology for 25,918, or topology-only information for 36,968. These four categories are mutually exclusive and close the complete 2,608,448-site denominator.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Terminal entry outcome. </w:t>
      </w:r>
      <w:r>
        <w:rPr>
          <w:rFonts w:ascii="Times New Roman" w:hAnsi="Times New Roman" w:eastAsia="Times New Roman"/>
          <w:color w:val="000000"/>
          <w:sz w:val="24"/>
        </w:rPr>
        <w:t>Each target entry received exactly one terminal outcome in the following precedence order: (i) all-sites audit-only when every metal site was audit-only; (ii) disorder-ambiguous when at least one structural site was retained but unresolved source disorder was present; (iii) partial when no unresolved disorder was present but at least one site was not fully resolved; or (iv) resolved when every site was resolved and no unresolved disorder was present. The resulting counts were 5,109 all-sites audit-only, 286,359 disorder-ambiguous, 112,519 partial, and 342,524 resolved entries (Supplementary Table S9B).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Source-fidelity validation. </w:t>
      </w:r>
      <w:r>
        <w:rPr>
          <w:rFonts w:ascii="Times New Roman" w:hAnsi="Times New Roman" w:eastAsia="Times New Roman"/>
          <w:color w:val="000000"/>
          <w:sz w:val="24"/>
        </w:rPr>
        <w:t>An independent validator reread every native CSD object and compared the metal inventory, metal–donor incidences, local coordination counts, shared-donor and haptic signatures, metal–metal relations, donor-pair geometry, and periodic flags with the emitted record. All 746,511 records passed schema validation and reproduced the audited source-derived signatures without mismatch.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Resolution boundary. </w:t>
      </w:r>
      <w:r>
        <w:rPr>
          <w:rFonts w:ascii="Times New Roman" w:hAnsi="Times New Roman" w:eastAsia="Times New Roman"/>
          <w:color w:val="000000"/>
          <w:sz w:val="24"/>
        </w:rPr>
        <w:t>Resolved denotes a source-supported structural record object. It does not by itself imply an exact label-free CoordRep identity, CShM availability, or a chemically complete distance-derived first coordination sphere.</w:t>
      </w:r>
    </w:p>
    <w:p>
      <w:pPr>
        <w:pStyle w:val="Heading3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SM1.5 Analysis denominators and subset relationships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color w:val="000000"/>
          <w:sz w:val="24"/>
        </w:rPr>
        <w:t>The quantitative analyses use noninterchangeable denominators. The 1,371,757-entry CSD release, 783,263-entry metal census, and 746,511-entry structural-audit target form one release-wide accounting chain. The 101,878-record strict molecular core and 84,453-record connectivity-supported tier are frozen molecular analysis subsets; the 48,057-record tmQM cohort is an independent computed dataset; and the 15,906-entry CSD MOF Collection is a separate periodic evidence domain. These denominators must not be added together or interpreted as successive filters of a single dataset.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Times New Roman"/>
          <w:color w:val="000000"/>
          <w:sz w:val="24"/>
        </w:rPr>
        <w:t>Shared-donor, confirmed haptic/π, nonzero-translation, and ambiguous collective-π counts are nonexclusive feature flags and must not be summed. In contrast, the three entry classes, five metal-block signatures, four geometry-field categories, and four terminal outcomes are separately mutually exclusive partitions of their stated denominators. Because the audit covers a frozen release rather than a statistical sample, percentages are exact descriptive proportions of the stated denominator; no population confidence interval is implied. The census, closure relations, and independent periodic counts are summarized in Supplementary Table S9A.</w:t>
      </w: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Times New Roman" w:hAnsi="Times New Roman" w:eastAsia="Times New Roman"/>
          <w:b/>
          <w:color w:val="000000"/>
          <w:sz w:val="20"/>
        </w:rPr>
        <w:t>Supplementary Table S9A. Release-wide molecular and periodic dataset census and audit scope.</w:t>
      </w:r>
    </w:p>
    <w:tbl>
      <w:tblPr>
        <w:tblStyle w:val="TableGrid"/>
        <w:tblW w:type="dxa" w:w="8251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000000"/>
          <w:left w:val="nil" w:sz="0" w:space="0" w:color="000000"/>
          <w:bottom w:val="single" w:sz="1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Ind w:type="dxa" w:w="55"/>
      </w:tblPr>
      <w:tblGrid>
        <w:gridCol w:w="1320"/>
        <w:gridCol w:w="2475"/>
        <w:gridCol w:w="1898"/>
        <w:gridCol w:w="2558"/>
      </w:tblGrid>
      <w:tr>
        <w:trPr>
          <w:tblHeader w:val="true"/>
          <w:cantSplit/>
        </w:trPr>
        <w:tc>
          <w:tcPr>
            <w:tcW w:type="dxa" w:w="1320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Analysis</w:t>
            </w:r>
          </w:p>
        </w:tc>
        <w:tc>
          <w:tcPr>
            <w:tcW w:type="dxa" w:w="2475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Quantity</w:t>
            </w:r>
          </w:p>
        </w:tc>
        <w:tc>
          <w:tcPr>
            <w:tcW w:type="dxa" w:w="1898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Count</w:t>
            </w:r>
          </w:p>
        </w:tc>
        <w:tc>
          <w:tcPr>
            <w:tcW w:type="dxa" w:w="2558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April 2025 CSD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All entries examined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1,371,757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Frozen release-wide database denominator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Frozen metal census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Metal-containing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783,263 (57.0993% of all CSD)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≥1 atom in the frozen 96-symbol metal domain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Frozen metal census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Census-only metal-containing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36,752 (4.6922% of metal census)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Outside the deposited-structure target; not failures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Structural-audit target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meeting the deposited-structure criterion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746,511 (95.3078% of metal census)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Operational entry-level audit denominator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Audit validation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Schema-valid records emitted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746,511/746,511 (100.0000%)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Every target entry received a typed audit outcome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Audit validation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Independent source-signature validation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746,511/746,511 (100.0000%)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Native inventories and coordination signatures reproduced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Entry-class partition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Strict nonpolymeric single-metal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298,932 (40.0439%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Exactly one metal site; nonpolymeric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Entry-class partition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Nonpolymeric multimetal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295,164 (39.5391%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&gt;1 metal site; nonpolymeric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Entry-class partition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Polymeric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152,415 (20.4170%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Polymeric class takes precedence over multiplicity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Metal-block signature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s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>-block only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33,532 (4.4918%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All metal sites belong to the </w:t>
            </w: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s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 block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Metal-block signature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p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>-block only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54,888 (7.3526%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All metal sites belong to the </w:t>
            </w: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p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 block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Metal-block signature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d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>-block only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548,730 (73.5059%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All metal sites belong to the </w:t>
            </w: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d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 block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Metal-block signature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f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>-block only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48,805 (6.5377%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All metal sites belong to the </w:t>
            </w:r>
            <w:r>
              <w:rPr>
                <w:rFonts w:ascii="Times New Roman" w:hAnsi="Times New Roman" w:eastAsia="Times New Roman"/>
                <w:i/>
                <w:color w:val="000000"/>
                <w:sz w:val="15"/>
              </w:rPr>
              <w:t>f</w:t>
            </w:r>
            <w:r>
              <w:rPr>
                <w:rFonts w:ascii="Times New Roman" w:hAnsi="Times New Roman" w:eastAsia="Times New Roman"/>
                <w:color w:val="000000"/>
                <w:sz w:val="15"/>
              </w:rPr>
              <w:t xml:space="preserve"> block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Metal-block signature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Mixed-block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60,556 (8.1119%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 sites span ≥2 periodic-table blocks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Entry structural coverage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with ≥1 structural metal site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741,402/746,511 (99.3156%)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At least one qualifying native-source relation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Entry structural coverage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with every metal site structural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733,004/746,511 (98.1906%)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 audit-only metal site in the entry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Site structural coverage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All in-scope metal sites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2,608,448 (100.0000%)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Site-level audit denominator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Site structural coverage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Structural metal sites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2,574,081/2,608,448 (98.6825%)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Qualifying native-source relation retained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Site structural coverage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Audit-only metal sites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34,367/2,608,448 (1.3175%)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Retained without a qualifying native-source relation</w:t>
            </w:r>
          </w:p>
        </w:tc>
      </w:tr>
    </w:tbl>
    <w:p>
      <w:r>
        <w:br w:type="page"/>
      </w:r>
    </w:p>
    <w:p>
      <w:pPr>
        <w:keepNext/>
        <w:spacing w:before="0" w:after="80"/>
        <w:jc w:val="left"/>
      </w:pPr>
      <w:r>
        <w:rPr>
          <w:rFonts w:ascii="Times New Roman" w:hAnsi="Times New Roman" w:eastAsia="Times New Roman"/>
          <w:b/>
          <w:color w:val="000000"/>
          <w:sz w:val="20"/>
        </w:rPr>
        <w:t>Supplementary Table S9A. Release-wide molecular and periodic dataset census and audit scope (continued).</w:t>
      </w:r>
    </w:p>
    <w:tbl>
      <w:tblPr>
        <w:tblStyle w:val="TableGrid"/>
        <w:tblW w:type="dxa" w:w="8251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000000"/>
          <w:left w:val="nil" w:sz="0" w:space="0" w:color="000000"/>
          <w:bottom w:val="single" w:sz="1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Ind w:type="dxa" w:w="55"/>
      </w:tblPr>
      <w:tblGrid>
        <w:gridCol w:w="1320"/>
        <w:gridCol w:w="2475"/>
        <w:gridCol w:w="1898"/>
        <w:gridCol w:w="2558"/>
      </w:tblGrid>
      <w:tr>
        <w:trPr>
          <w:tblHeader w:val="true"/>
          <w:cantSplit/>
        </w:trPr>
        <w:tc>
          <w:tcPr>
            <w:tcW w:type="dxa" w:w="1320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Analysis</w:t>
            </w:r>
          </w:p>
        </w:tc>
        <w:tc>
          <w:tcPr>
            <w:tcW w:type="dxa" w:w="2475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Quantity</w:t>
            </w:r>
          </w:p>
        </w:tc>
        <w:tc>
          <w:tcPr>
            <w:tcW w:type="dxa" w:w="1898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Count</w:t>
            </w:r>
          </w:p>
        </w:tc>
        <w:tc>
          <w:tcPr>
            <w:tcW w:type="dxa" w:w="2558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Geometry field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CShM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1,922,425/2,608,448 (73.7000%)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Supported continuous-shape vector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Geometry field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Distance–angle profile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623,137/2,608,448 (23.8892%)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Geometry retained without a supported CShM reference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Geometry field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Metal-graph topology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25,918/2,608,448 (0.9936%)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Typed metal topology retained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Geometry field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Topology-only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36,968/2,608,448 (1.4172%)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 coordinate-derived geometry field required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Complexity flag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with a shared donor group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213,595 (28.6124%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Donor group addresses &gt;1 serialized metal site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Complexity flag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with a confirmed haptic/π site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113,726 (15.2343%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Collective site with definite hapticity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Complexity flag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with a resolved nonzero translation edge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129,092 (17.2927%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At least one incidence crosses a unit-cell translation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Complexity flag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Entries with an ambiguous collective-π candidate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63 (0.0084% of target)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Candidate retained without forced hapticity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Molecular learning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Frozen tmQM/GFN2-xTB cohort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48,057 records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Independent computed molecular evidence domain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Molecular identity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Strict mononuclear η¹ core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101,878 records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Frozen molecular analysis tier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Molecular identity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Connectivity-supported molecular tier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84,453 records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L0–L3 family-analysis tier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Molecular identity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Multi-record refcode-family benchmark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3,491 families; 9,056 records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Main-text molecular identity benchmark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CSD MOF Collection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Supplied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15,906 (100.0000%)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Separate periodic evidence domain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CSD MOF Collection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Processed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15,905/15,906 (99.9937%)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Completed periodic local-state processing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CSD MOF Collection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State-bearing entries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10,948/15,905 (68.8337%)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Emitted ≥1 accepted CN = 2–6 local state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CSD MOF Collection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Emitted local states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172,332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Periodic local metal-site states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CSD MOF Collection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States with a nonzero translation edge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74,354/172,332 (43.1458%)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Translation-resolved periodic local states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Canonical perturbation</w:t>
            </w:r>
          </w:p>
        </w:tc>
        <w:tc>
          <w:tcPr>
            <w:tcW w:type="dxa" w:w="247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Family-disjoint crystallographic re-expression challenge</w:t>
            </w:r>
          </w:p>
        </w:tc>
        <w:tc>
          <w:tcPr>
            <w:tcW w:type="dxa" w:w="189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400/400 entries; 5,920 sites</w:t>
            </w:r>
          </w:p>
        </w:tc>
        <w:tc>
          <w:tcPr>
            <w:tcW w:type="dxa" w:w="255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Entry-state multisets and MID/SID keys unchanged</w:t>
            </w:r>
          </w:p>
        </w:tc>
      </w:tr>
    </w:tbl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a </w:t>
      </w:r>
      <w:r>
        <w:rPr>
          <w:rFonts w:ascii="Times New Roman" w:hAnsi="Times New Roman" w:eastAsia="Times New Roman"/>
          <w:color w:val="000000"/>
          <w:sz w:val="16"/>
        </w:rPr>
        <w:t xml:space="preserve">The frozen 96-symbol policy was derived from </w:t>
      </w:r>
      <w:r>
        <w:rPr>
          <w:rFonts w:ascii="Cascadia Code" w:hAnsi="Cascadia Code" w:eastAsia="Cascadia Code"/>
          <w:color w:val="000000"/>
          <w:sz w:val="17"/>
        </w:rPr>
        <w:t>ccdc.molecule.Atom.is_metal</w:t>
      </w:r>
      <w:r>
        <w:rPr>
          <w:rFonts w:ascii="Times New Roman" w:hAnsi="Times New Roman" w:eastAsia="Times New Roman"/>
          <w:color w:val="000000"/>
          <w:sz w:val="16"/>
        </w:rPr>
        <w:t xml:space="preserve"> under CSD Python API 3.6.0. Seventy-four symbols occur in the full release and 72 in the structural-audit target; policy membership does not imply observation in this release.</w:t>
      </w:r>
    </w:p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b </w:t>
      </w:r>
      <w:r>
        <w:rPr>
          <w:rFonts w:ascii="Times New Roman" w:hAnsi="Times New Roman" w:eastAsia="Times New Roman"/>
          <w:color w:val="000000"/>
          <w:sz w:val="16"/>
        </w:rPr>
        <w:t>The deposited-structure criterion defines the present audit target; it is not a general CoordRep input requirement. Entry inclusion does not imply exact canonical identity or CShM availability.</w:t>
      </w:r>
    </w:p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c </w:t>
      </w:r>
      <w:r>
        <w:rPr>
          <w:rFonts w:ascii="Times New Roman" w:hAnsi="Times New Roman" w:eastAsia="Times New Roman"/>
          <w:color w:val="000000"/>
          <w:sz w:val="16"/>
        </w:rPr>
        <w:t>The three entry classes, five metal-block signatures, and four geometry-field categories are separately mutually exclusive and close their stated denominators.</w:t>
      </w:r>
    </w:p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d </w:t>
      </w:r>
      <w:r>
        <w:rPr>
          <w:rFonts w:ascii="Times New Roman" w:hAnsi="Times New Roman" w:eastAsia="Times New Roman"/>
          <w:color w:val="000000"/>
          <w:sz w:val="16"/>
        </w:rPr>
        <w:t>Shared-donor, haptic/π, translation-edge, and ambiguous collective-π flags are nonexclusive and must not be summed.</w:t>
      </w:r>
    </w:p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e </w:t>
      </w:r>
      <w:r>
        <w:rPr>
          <w:rFonts w:ascii="Times New Roman" w:hAnsi="Times New Roman" w:eastAsia="Times New Roman"/>
          <w:color w:val="000000"/>
          <w:sz w:val="16"/>
        </w:rPr>
        <w:t>Structural relations transcribe the CSD-native molecular graph; no distance-derived metal–donor contact was added. Audit-only sites were retained explicitly.</w:t>
      </w:r>
    </w:p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f </w:t>
      </w:r>
      <w:r>
        <w:rPr>
          <w:rFonts w:ascii="Times New Roman" w:hAnsi="Times New Roman" w:eastAsia="Times New Roman"/>
          <w:color w:val="000000"/>
          <w:sz w:val="16"/>
        </w:rPr>
        <w:t>The tmQM cohort, frozen molecular identity tiers, release-wide CSD audit, and CSD MOF Collection are separate evidence domains and are not added together.</w:t>
      </w: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Times New Roman" w:hAnsi="Times New Roman" w:eastAsia="Times New Roman"/>
          <w:b/>
          <w:color w:val="000000"/>
          <w:sz w:val="20"/>
        </w:rPr>
        <w:t>Supplementary Table S9B. Mutually exclusive terminal outcomes for the 746,511-entry structural-audit target.</w:t>
      </w:r>
    </w:p>
    <w:tbl>
      <w:tblPr>
        <w:tblStyle w:val="TableGrid"/>
        <w:tblW w:type="dxa" w:w="8251"/>
        <w:tblLayout w:type="fixed"/>
        <w:tblLook w:firstColumn="1" w:firstRow="1" w:lastColumn="0" w:lastRow="0" w:noHBand="0" w:noVBand="1" w:val="04A0"/>
        <w:jc w:val="left"/>
        <w:tblBorders>
          <w:top w:val="single" w:sz="10" w:space="0" w:color="000000"/>
          <w:left w:val="nil" w:sz="0" w:space="0" w:color="000000"/>
          <w:bottom w:val="single" w:sz="1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Ind w:type="dxa" w:w="55"/>
      </w:tblPr>
      <w:tblGrid>
        <w:gridCol w:w="1733"/>
        <w:gridCol w:w="1155"/>
        <w:gridCol w:w="1485"/>
        <w:gridCol w:w="3878"/>
      </w:tblGrid>
      <w:tr>
        <w:trPr>
          <w:tblHeader w:val="true"/>
          <w:cantSplit/>
        </w:trPr>
        <w:tc>
          <w:tcPr>
            <w:tcW w:type="dxa" w:w="1733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Terminal outcome</w:t>
            </w:r>
          </w:p>
        </w:tc>
        <w:tc>
          <w:tcPr>
            <w:tcW w:type="dxa" w:w="1155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Entries</w:t>
            </w:r>
          </w:p>
        </w:tc>
        <w:tc>
          <w:tcPr>
            <w:tcW w:type="dxa" w:w="1485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Fraction of target</w:t>
            </w:r>
          </w:p>
        </w:tc>
        <w:tc>
          <w:tcPr>
            <w:tcW w:type="dxa" w:w="3878"/>
            <w:vAlign w:val="center"/>
            <w:tcBorders>
              <w:bottom w:val="single" w:sz="8" w:space="0" w:color="000000"/>
            </w:tcBorders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Operational definition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Resolved</w:t>
            </w:r>
          </w:p>
        </w:tc>
        <w:tc>
          <w:tcPr>
            <w:tcW w:type="dxa" w:w="115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342,524</w:t>
            </w:r>
          </w:p>
        </w:tc>
        <w:tc>
          <w:tcPr>
            <w:tcW w:type="dxa" w:w="148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45.8833%</w:t>
            </w:r>
          </w:p>
        </w:tc>
        <w:tc>
          <w:tcPr>
            <w:tcW w:type="dxa" w:w="387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Every metal site resolved; no unresolved source disorder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Partial</w:t>
            </w:r>
          </w:p>
        </w:tc>
        <w:tc>
          <w:tcPr>
            <w:tcW w:type="dxa" w:w="115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112,519</w:t>
            </w:r>
          </w:p>
        </w:tc>
        <w:tc>
          <w:tcPr>
            <w:tcW w:type="dxa" w:w="148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15.0727%</w:t>
            </w:r>
          </w:p>
        </w:tc>
        <w:tc>
          <w:tcPr>
            <w:tcW w:type="dxa" w:w="387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 unresolved disorder; ≥1 site not fully resolved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Disorder-ambiguous</w:t>
            </w:r>
          </w:p>
        </w:tc>
        <w:tc>
          <w:tcPr>
            <w:tcW w:type="dxa" w:w="115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286,359</w:t>
            </w:r>
          </w:p>
        </w:tc>
        <w:tc>
          <w:tcPr>
            <w:tcW w:type="dxa" w:w="148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38.3596%</w:t>
            </w:r>
          </w:p>
        </w:tc>
        <w:tc>
          <w:tcPr>
            <w:tcW w:type="dxa" w:w="387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≥1 structural site retained; unresolved source disorder present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All-sites audit-only</w:t>
            </w:r>
          </w:p>
        </w:tc>
        <w:tc>
          <w:tcPr>
            <w:tcW w:type="dxa" w:w="115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5,109</w:t>
            </w:r>
          </w:p>
        </w:tc>
        <w:tc>
          <w:tcPr>
            <w:tcW w:type="dxa" w:w="148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0.6844%</w:t>
            </w:r>
          </w:p>
        </w:tc>
        <w:tc>
          <w:tcPr>
            <w:tcW w:type="dxa" w:w="387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Every metal site retained at audit-only level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15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746,511</w:t>
            </w:r>
          </w:p>
        </w:tc>
        <w:tc>
          <w:tcPr>
            <w:tcW w:type="dxa" w:w="1485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100.0000%</w:t>
            </w:r>
          </w:p>
        </w:tc>
        <w:tc>
          <w:tcPr>
            <w:tcW w:type="dxa" w:w="3878"/>
            <w:vAlign w:val="center"/>
            <w:tcMar>
              <w:top w:w="35" w:type="dxa"/>
              <w:bottom w:w="35" w:type="dxa"/>
              <w:start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Complete entry-level outcome accounting</w:t>
            </w:r>
          </w:p>
        </w:tc>
      </w:tr>
    </w:tbl>
    <w:p>
      <w:pPr>
        <w:spacing w:line="240" w:lineRule="auto" w:before="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16"/>
        </w:rPr>
        <w:t xml:space="preserve">Note. </w:t>
      </w:r>
      <w:r>
        <w:rPr>
          <w:rFonts w:ascii="Times New Roman" w:hAnsi="Times New Roman" w:eastAsia="Times New Roman"/>
          <w:color w:val="000000"/>
          <w:sz w:val="16"/>
        </w:rPr>
        <w:t>Outcomes were assigned once per entry in this precedence order: all-sites audit-only; otherwise disorder-ambiguous when unresolved disorder was present; otherwise partial when any site was not fully resolved; otherwise resolved. The categories are mutually exclusive and collectively exhaustive. Resolved does not itself imply exact canonical identity, CShM availability, or a distance-completed first coordination sphere.</w:t>
      </w:r>
    </w:p>
    <w:sectPr w:rsidR="00FC693F" w:rsidRPr="0006063C" w:rsidSect="00034616">
      <w:pgSz w:w="11906" w:h="16838"/>
      <w:pgMar w:top="1008" w:right="1800" w:bottom="1008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Methods 1 and Supplementary Tables S9A-S9B</dc:title>
  <dc:subject>CoordRep release-wide CSD audit replacement text</dc:subject>
  <dc:creator>CoordRep revision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