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20</w:t>
      </w:r>
      <w:r>
        <w:t xml:space="preserve"> </w:t>
      </w:r>
      <w:r>
        <w:rPr>
          <w:color w:val="FF0000"/>
        </w:rPr>
        <w:t>th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t>Cohesion:</w:t>
      </w:r>
      <w:r>
        <w:t xml:space="preserve"> </w:t>
      </w:r>
      <w:r>
        <w:rPr>
          <w:color w:val="FF0000"/>
        </w:rPr>
        <w:t>Belbin's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Maslow's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Herzberg's</w:t>
      </w:r>
      <w:r>
        <w:t xml:space="preserve"> </w:t>
      </w:r>
      <w:r>
        <w:t>Two-Factor</w:t>
      </w:r>
      <w:r>
        <w:t xml:space="preserve"> </w:t>
      </w:r>
      <w: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recognition,</w:t>
      </w:r>
      <w:r>
        <w:t xml:space="preserve"> </w:t>
      </w:r>
      <w:r>
        <w:t>responsibility.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color w:val="FF0000"/>
        </w:rPr>
        <w:t>Lewin's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t>stages:</w:t>
      </w:r>
      <w:r>
        <w:t xml:space="preserve"> </w:t>
      </w:r>
      <w:r>
        <w:t>unfreezing</w:t>
      </w:r>
      <w:r>
        <w:t xml:space="preserve"> </w:t>
      </w:r>
      <w:r>
        <w:t>preparing</w:t>
      </w:r>
      <w:r>
        <w:t xml:space="preserve"> </w:t>
      </w:r>
      <w:r>
        <w:t>for</w:t>
      </w:r>
      <w:r>
        <w:t xml:space="preserve"> </w:t>
      </w:r>
      <w:r>
        <w:t>change,</w:t>
      </w:r>
      <w:r>
        <w:t xml:space="preserve"> </w:t>
      </w:r>
      <w:r>
        <w:t>changing</w:t>
      </w:r>
      <w:r>
        <w:t xml:space="preserve"> </w:t>
      </w:r>
      <w:r>
        <w:t>implementing</w:t>
      </w:r>
      <w:r>
        <w:t xml:space="preserve"> </w:t>
      </w:r>
      <w:r>
        <w:t>the</w:t>
      </w:r>
      <w:r>
        <w:t xml:space="preserve"> </w:t>
      </w:r>
      <w:r>
        <w:t>change,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t>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practices.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color w:val="FF0000"/>
        </w:rPr>
        <w:t>Kotter's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