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23" w:rsidRPr="00A70423" w:rsidRDefault="00A70423" w:rsidP="00A70423">
      <w:r w:rsidRPr="00A70423">
        <w:t>Here are some Examples Demonstrating the Correct use of Superscript note Indicators in Accordance with this rule :</w:t>
      </w:r>
    </w:p>
    <w:p w:rsidR="00A70423" w:rsidRPr="00A70423" w:rsidRDefault="00A70423" w:rsidP="00A70423">
      <w:pPr>
        <w:numPr>
          <w:ilvl w:val="0"/>
          <w:numId w:val="1"/>
        </w:numPr>
      </w:pPr>
      <w:r w:rsidRPr="00A70423">
        <w:t>The Results of the Study Confirmed Thehypothesis Zero.</w:t>
      </w:r>
      <w:proofErr w:type="spellStart"/>
      <w:r w:rsidRPr="00A70423"/>
      <w:r w:rsidRPr="00104838">
        <w:rPr>
          <w:vertAlign w:val="superscript"/>
        </w:rPr>
      </w:r>
      <w:proofErr w:type="spellEnd"/>
    </w:p>
    <w:p w:rsidR="00A70423" w:rsidRPr="00A70423" w:rsidRDefault="00A70423" w:rsidP="00A70423">
      <w:pPr>
        <w:numPr>
          <w:ilvl w:val="0"/>
          <w:numId w:val="1"/>
        </w:numPr>
      </w:pPr>
      <w:r w:rsidRPr="00A70423">
        <w:t>Previous Research has Shown Similar Trends in Consumerbehavior Zero.</w:t>
      </w:r>
      <w:proofErr w:type="spellStart"/>
      <w:r w:rsidRPr="00A70423"/>
      <w:r w:rsidRPr="00104838">
        <w:rPr>
          <w:vertAlign w:val="superscript"/>
        </w:rPr>
      </w:r>
      <w:proofErr w:type="spellEnd"/>
    </w:p>
    <w:p w:rsidR="00A70423" w:rsidRPr="00A70423" w:rsidRDefault="00A70423" w:rsidP="00A70423">
      <w:pPr>
        <w:numPr>
          <w:ilvl w:val="0"/>
          <w:numId w:val="1"/>
        </w:numPr>
      </w:pPr>
      <w:r w:rsidRPr="00A70423">
        <w:t>Smith Argues that this Approach Isoutdated;3However , Recent Studies Suggestotherwise.</w:t>
      </w:r>
      <w:proofErr w:type="spellStart"/>
      <w:r w:rsidRPr="00A70423">
        <w:rPr>
          <w:color w:val="FF0000"/>
        </w:rPr>
      </w:r>
      <w:proofErr w:type="spellEnd"/>
      <w:r w:rsidRPr="00A70423"/>
      <w:proofErr w:type="spellStart"/>
      <w:r w:rsidRPr="00A70423"/>
      <w:r w:rsidRPr="00104838">
        <w:rPr>
          <w:vertAlign w:val="superscript"/>
        </w:rPr>
      </w:r>
      <w:proofErr w:type="spellEnd"/>
    </w:p>
    <w:p w:rsidR="00A70423" w:rsidRPr="00A70423" w:rsidRDefault="00A70423" w:rsidP="00A70423">
      <w:pPr>
        <w:numPr>
          <w:ilvl w:val="0"/>
          <w:numId w:val="1"/>
        </w:numPr>
      </w:pPr>
      <w:r w:rsidRPr="00A70423">
        <w:t>The Experiment Yielded Significant Findings , as Noted in Priorliterature Zero.</w:t>
      </w:r>
      <w:proofErr w:type="spellStart"/>
      <w:r w:rsidRPr="00A70423"/>
      <w:r w:rsidRPr="00104838">
        <w:rPr>
          <w:vertAlign w:val="superscript"/>
        </w:rPr>
      </w:r>
      <w:proofErr w:type="spellEnd"/>
    </w:p>
    <w:p w:rsidR="00A70423" w:rsidRDefault="00A70423" w:rsidP="00A70423">
      <w:r w:rsidRPr="00A70423">
        <w:t>In each case , the Superscript Number Appearsafterpunctuation , Typically Following the Period (Full stop ) at the end of the Sentence .</w:t>
      </w:r>
      <w:r w:rsidRPr="00A70423">
        <w:rPr>
          <w:b/>
          <w:bCs/>
        </w:rPr>
      </w:r>
      <w:r w:rsidRPr="00A70423">
        <w:rPr>
          <w:color w:val="FF0000"/>
        </w:rPr>
      </w:r>
    </w:p>
    <w:p w:rsidR="00104838" w:rsidRPr="00104838" w:rsidRDefault="00104838" w:rsidP="00104838">
      <w:r w:rsidRPr="00104838">
        <w:t>Here are Examples of Different Rules Regarding the Placement of Superscript note Indicators in text :</w:t>
      </w:r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  <w:color w:val="FF0000"/>
        </w:rPr>
        <w:t>One . Superscript Placed After a Period (Full stop ) or Other Punctuation</w:t>
      </w:r>
    </w:p>
    <w:p w:rsidR="00104838" w:rsidRPr="00104838" w:rsidRDefault="00104838" w:rsidP="00104838">
      <w:pPr>
        <w:numPr>
          <w:ilvl w:val="0"/>
          <w:numId w:val="2"/>
        </w:numPr>
      </w:pPr>
      <w:r w:rsidRPr="00104838">
        <w:t>The Study Confirmed Thehypothesis Zero.</w:t>
      </w:r>
      <w:proofErr w:type="spellStart"/>
      <w:r w:rsidRPr="00104838"/>
      <w:r w:rsidRPr="00104838">
        <w:rPr>
          <w:vertAlign w:val="superscript"/>
        </w:rPr>
      </w:r>
      <w:proofErr w:type="spellEnd"/>
    </w:p>
    <w:p w:rsidR="00104838" w:rsidRPr="00104838" w:rsidRDefault="00104838" w:rsidP="00104838">
      <w:pPr>
        <w:numPr>
          <w:ilvl w:val="0"/>
          <w:numId w:val="2"/>
        </w:numPr>
      </w:pPr>
      <w:r w:rsidRPr="00104838">
        <w:t>Researchers have Debated this Issue Fordecades Zero.</w:t>
      </w:r>
      <w:proofErr w:type="spellStart"/>
      <w:r w:rsidRPr="00104838"/>
      <w:r w:rsidRPr="00104838">
        <w:rPr>
          <w:vertAlign w:val="superscript"/>
        </w:rPr>
      </w:r>
      <w:proofErr w:type="spellEnd"/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Two . Superscript Placed After a Comma</w:t>
      </w:r>
    </w:p>
    <w:p w:rsidR="00104838" w:rsidRPr="00104838" w:rsidRDefault="00104838" w:rsidP="00104838">
      <w:pPr>
        <w:numPr>
          <w:ilvl w:val="0"/>
          <w:numId w:val="3"/>
        </w:numPr>
      </w:pPr>
      <w:r w:rsidRPr="00104838">
        <w:t>The Results Wereconclusive, ,Threebut Further Research is Needed</w:t>
      </w:r>
      <w:proofErr w:type="spellStart"/>
      <w:r w:rsidRPr="00104838"/>
      <w:proofErr w:type="gramStart"/>
      <w:r w:rsidRPr="00104838"/>
      <w:r w:rsidRPr="00104838">
        <w:rPr>
          <w:vertAlign w:val="superscript"/>
        </w:rPr>
      </w:r>
      <w:proofErr w:type="spellEnd"/>
      <w:proofErr w:type="gramEnd"/>
      <w:r w:rsidRPr="00104838"/>
    </w:p>
    <w:p w:rsidR="00104838" w:rsidRPr="00104838" w:rsidRDefault="00104838" w:rsidP="00104838">
      <w:pPr>
        <w:numPr>
          <w:ilvl w:val="0"/>
          <w:numId w:val="3"/>
        </w:numPr>
      </w:pPr>
      <w:r w:rsidRPr="00104838">
        <w:t>According to Theauthor, ,Fourthe Findings Support the Theory</w:t>
      </w:r>
      <w:proofErr w:type="spellStart"/>
      <w:r w:rsidRPr="00104838"/>
      <w:proofErr w:type="gramStart"/>
      <w:r w:rsidRPr="00104838"/>
      <w:r w:rsidRPr="00104838">
        <w:rPr>
          <w:vertAlign w:val="superscript"/>
        </w:rPr>
      </w:r>
      <w:proofErr w:type="spellEnd"/>
      <w:proofErr w:type="gramEnd"/>
      <w:r w:rsidRPr="00104838"/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Three . Superscript Placed After a Quotation mark</w:t>
      </w:r>
    </w:p>
    <w:p w:rsidR="00104838" w:rsidRPr="00104838" w:rsidRDefault="00104838" w:rsidP="00104838">
      <w:pPr>
        <w:numPr>
          <w:ilvl w:val="0"/>
          <w:numId w:val="4"/>
        </w:numPr>
      </w:pPr>
      <w:r w:rsidRPr="00104838">
        <w:rPr>
          <w:color w:val="FF0000"/>
        </w:rPr>
        <w:t>“This Discovery Revolutionized Thefield .” “Five</w:t>
      </w:r>
      <w:proofErr w:type="spellStart"/>
      <w:r w:rsidRPr="00104838"/>
      <w:proofErr w:type="gramStart"/>
      <w:r w:rsidRPr="00104838"/>
      <w:proofErr w:type="gramEnd"/>
      <w:r w:rsidRPr="00104838">
        <w:rPr>
          <w:vertAlign w:val="superscript"/>
        </w:rPr>
      </w:r>
      <w:proofErr w:type="spellEnd"/>
    </w:p>
    <w:p w:rsidR="00104838" w:rsidRPr="00104838" w:rsidRDefault="00104838" w:rsidP="00104838">
      <w:pPr>
        <w:numPr>
          <w:ilvl w:val="0"/>
          <w:numId w:val="4"/>
        </w:numPr>
      </w:pPr>
      <w:r w:rsidRPr="00104838">
        <w:t>The Experiment was Described as “ “Groundbreaking, “Sixleading to Further Research</w:t>
      </w:r>
      <w:proofErr w:type="spellStart"/>
      <w:r w:rsidRPr="00104838">
        <w:rPr>
          <w:color w:val="FF0000"/>
        </w:rPr>
      </w:r>
      <w:proofErr w:type="gramStart"/>
      <w:r w:rsidRPr="00104838">
        <w:rPr>
          <w:vertAlign w:val="superscript"/>
        </w:rPr>
      </w:r>
      <w:proofErr w:type="spellEnd"/>
      <w:proofErr w:type="gramEnd"/>
      <w:r w:rsidRPr="00104838"/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Four . Superscript Placed After a Semicolon or Colon</w:t>
      </w:r>
    </w:p>
    <w:p w:rsidR="00104838" w:rsidRPr="00104838" w:rsidRDefault="00104838" w:rsidP="00104838">
      <w:pPr>
        <w:numPr>
          <w:ilvl w:val="0"/>
          <w:numId w:val="5"/>
        </w:numPr>
      </w:pPr>
      <w:r w:rsidRPr="00104838">
        <w:t>Several Studies Support Thisclaim; ;Sevenhowever , some Researchers Disagree</w:t>
      </w:r>
      <w:proofErr w:type="spellStart"/>
      <w:r w:rsidRPr="00104838"/>
      <w:proofErr w:type="gramStart"/>
      <w:r w:rsidRPr="00104838"/>
      <w:r w:rsidRPr="00104838">
        <w:rPr>
          <w:vertAlign w:val="superscript"/>
        </w:rPr>
      </w:r>
      <w:proofErr w:type="spellEnd"/>
      <w:proofErr w:type="gramEnd"/>
      <w:r w:rsidRPr="00104838"/>
    </w:p>
    <w:p w:rsidR="00104838" w:rsidRPr="00104838" w:rsidRDefault="00104838" w:rsidP="00104838">
      <w:pPr>
        <w:numPr>
          <w:ilvl w:val="0"/>
          <w:numId w:val="5"/>
        </w:numPr>
      </w:pPr>
      <w:r w:rsidRPr="00104838">
        <w:t>The Findings Wereclear: :Eightthe Treatment was Effective</w:t>
      </w:r>
      <w:proofErr w:type="spellStart"/>
      <w:r w:rsidRPr="00104838"/>
      <w:proofErr w:type="gramStart"/>
      <w:r w:rsidRPr="00104838"/>
      <w:r w:rsidRPr="00104838">
        <w:rPr>
          <w:vertAlign w:val="superscript"/>
        </w:rPr>
      </w:r>
      <w:proofErr w:type="spellEnd"/>
      <w:proofErr w:type="gramEnd"/>
      <w:r w:rsidRPr="00104838"/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</w:rPr>
        <w:t>Five . Superscript Placed Before a dash</w:t>
      </w:r>
    </w:p>
    <w:p w:rsidR="00104838" w:rsidRPr="00104838" w:rsidRDefault="00104838" w:rsidP="00104838">
      <w:pPr>
        <w:numPr>
          <w:ilvl w:val="0"/>
          <w:numId w:val="6"/>
        </w:numPr>
      </w:pPr>
      <w:r w:rsidRPr="00104838">
        <w:t>The Theory was Widelyacceptednine–At Least Until new Evidence Emerged .</w:t>
      </w:r>
      <w:proofErr w:type="spellStart"/>
      <w:r w:rsidRPr="00104838"/>
      <w:r w:rsidRPr="00104838">
        <w:rPr>
          <w:vertAlign w:val="superscript"/>
        </w:rPr>
      </w:r>
      <w:proofErr w:type="spellEnd"/>
      <w:r w:rsidRPr="00104838">
        <w:rPr>
          <w:color w:val="FF0000"/>
        </w:rPr>
      </w:r>
    </w:p>
    <w:p w:rsidR="00104838" w:rsidRPr="00104838" w:rsidRDefault="00104838" w:rsidP="00104838">
      <w:r w:rsidRPr="00104838">
        <w:t>Here are Examples Demonstrating Theexceptionsto the Standard Positioning rule for Superscript note Indicators :</w:t>
      </w:r>
      <w:r w:rsidRPr="00104838">
        <w:rPr>
          <w:b/>
          <w:bCs/>
        </w:rPr>
      </w:r>
      <w:r w:rsidRPr="00104838"/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  <w:color w:val="FF0000"/>
        </w:rPr>
        <w:t>One . Footnote/Endnote Within Parentheses</w:t>
      </w:r>
    </w:p>
    <w:p w:rsidR="00104838" w:rsidRPr="00104838" w:rsidRDefault="00104838" w:rsidP="00104838">
      <w:pPr>
        <w:numPr>
          <w:ilvl w:val="0"/>
          <w:numId w:val="7"/>
        </w:numPr>
      </w:pPr>
      <w:r w:rsidRPr="00104838">
        <w:rPr>
          <w:color w:val="FF0000"/>
        </w:rPr>
        <w:t>This Theory has been Widely Debated (see Smith for Furtherdiscussionone) .</w:t>
      </w:r>
      <w:proofErr w:type="spellStart"/>
      <w:r w:rsidRPr="00104838"/>
      <w:r w:rsidRPr="00104838">
        <w:rPr>
          <w:vertAlign w:val="superscript"/>
        </w:rPr>
      </w:r>
      <w:proofErr w:type="spellEnd"/>
      <w:r w:rsidRPr="00104838">
        <w:rPr>
          <w:color w:val="FF0000"/>
        </w:rPr>
      </w:r>
    </w:p>
    <w:p w:rsidR="00104838" w:rsidRPr="00104838" w:rsidRDefault="00104838" w:rsidP="00104838">
      <w:pPr>
        <w:numPr>
          <w:ilvl w:val="0"/>
          <w:numId w:val="7"/>
        </w:numPr>
      </w:pPr>
      <w:proofErr w:type="gramStart"/>
      <w:r w:rsidRPr="00104838">
        <w:rPr>
          <w:color w:val="FF0000"/>
        </w:rPr>
        <w:t>The Results were Inconclusive (but see Recent Studies for Newinsightstwo) .</w:t>
      </w:r>
      <w:proofErr w:type="spellStart"/>
      <w:r w:rsidRPr="00104838"/>
      <w:r w:rsidRPr="00104838">
        <w:rPr>
          <w:vertAlign w:val="superscript"/>
        </w:rPr>
      </w:r>
      <w:proofErr w:type="spellEnd"/>
      <w:r w:rsidRPr="00104838">
        <w:rPr>
          <w:color w:val="FF0000"/>
        </w:rPr>
      </w:r>
      <w:proofErr w:type="gramEnd"/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  <w:color w:val="FF0000"/>
        </w:rPr>
        <w:t>Two . Footnote/Endnote with Parenthetical Dashes</w:t>
      </w:r>
    </w:p>
    <w:p w:rsidR="00104838" w:rsidRPr="00104838" w:rsidRDefault="00104838" w:rsidP="00104838">
      <w:pPr>
        <w:numPr>
          <w:ilvl w:val="0"/>
          <w:numId w:val="8"/>
        </w:numPr>
      </w:pPr>
      <w:r w:rsidRPr="00104838">
        <w:t>The Experiment–Whichlasted for Threemonthsthree–Yielded Unexpected Results .</w:t>
      </w:r>
      <w:proofErr w:type="gramStart"/>
      <w:r w:rsidRPr="00104838">
        <w:rPr>
          <w:color w:val="FF0000"/>
        </w:rPr>
      </w:r>
      <w:proofErr w:type="gramEnd"/>
      <w:r w:rsidRPr="00104838"/>
      <w:proofErr w:type="spellStart"/>
      <w:r w:rsidRPr="00104838"/>
      <w:r w:rsidRPr="00104838">
        <w:rPr>
          <w:vertAlign w:val="superscript"/>
        </w:rPr>
      </w:r>
      <w:proofErr w:type="spellEnd"/>
      <w:r w:rsidRPr="00104838">
        <w:rPr>
          <w:color w:val="FF0000"/>
        </w:rPr>
      </w:r>
    </w:p>
    <w:p w:rsidR="00104838" w:rsidRPr="00104838" w:rsidRDefault="00104838" w:rsidP="00104838">
      <w:pPr>
        <w:numPr>
          <w:ilvl w:val="0"/>
          <w:numId w:val="8"/>
        </w:numPr>
      </w:pPr>
      <w:r w:rsidRPr="00104838">
        <w:t>The Findings–Despite Initialskepticismfour–Were Later Confirmed. .</w:t>
      </w:r>
      <w:r>
        <w:rPr>
          <w:color w:val="FF0000"/>
        </w:rPr>
      </w:r>
      <w:proofErr w:type="spellStart"/>
      <w:r/>
      <w:r w:rsidRPr="00104838">
        <w:rPr>
          <w:vertAlign w:val="superscript"/>
        </w:rPr>
      </w:r>
      <w:proofErr w:type="spellEnd"/>
      <w:r w:rsidRPr="00104838">
        <w:rPr>
          <w:color w:val="FF0000"/>
        </w:rPr>
      </w:r>
      <w:proofErr w:type="gramStart"/>
      <w:r w:rsidRPr="00104838"/>
      <w:proofErr w:type="gramEnd"/>
      <w:r w:rsidRPr="00104838"/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  <w:color w:val="FF0000"/>
        </w:rPr>
        <w:t>Three . Footnote/Endnote Referring to a Single Word at the End of a Sentence</w:t>
      </w:r>
    </w:p>
    <w:p w:rsidR="00104838" w:rsidRPr="00104838" w:rsidRDefault="00104838" w:rsidP="00104838">
      <w:pPr>
        <w:numPr>
          <w:ilvl w:val="0"/>
          <w:numId w:val="9"/>
        </w:numPr>
      </w:pPr>
      <w:r w:rsidRPr="00104838">
        <w:t>The Processis Knownascrystallizationfive. .</w:t>
      </w:r>
      <w:proofErr w:type="gramStart"/>
      <w:r w:rsidRPr="00104838"/>
      <w:proofErr w:type="gramEnd"/>
      <w:r w:rsidRPr="00104838"/>
      <w:proofErr w:type="spellStart"/>
      <w:r w:rsidRPr="00104838"/>
      <w:r w:rsidRPr="00104838">
        <w:rPr>
          <w:vertAlign w:val="superscript"/>
        </w:rPr>
      </w:r>
      <w:proofErr w:type="spellEnd"/>
      <w:r w:rsidRPr="00104838"/>
    </w:p>
    <w:p w:rsidR="00104838" w:rsidRPr="00104838" w:rsidRDefault="00104838" w:rsidP="00104838">
      <w:pPr>
        <w:numPr>
          <w:ilvl w:val="0"/>
          <w:numId w:val="9"/>
        </w:numPr>
      </w:pPr>
      <w:r w:rsidRPr="00104838">
        <w:t>This Phenomenonis Calleddiffractionsix. .</w:t>
      </w:r>
      <w:proofErr w:type="gramStart"/>
      <w:r w:rsidRPr="00104838"/>
      <w:proofErr w:type="gramEnd"/>
      <w:r w:rsidRPr="00104838"/>
      <w:proofErr w:type="spellStart"/>
      <w:r w:rsidRPr="00104838"/>
      <w:r w:rsidRPr="00104838">
        <w:rPr>
          <w:vertAlign w:val="superscript"/>
        </w:rPr>
      </w:r>
      <w:proofErr w:type="spellEnd"/>
      <w:r w:rsidRPr="00104838"/>
    </w:p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  <w:color w:val="FF0000"/>
        </w:rPr>
        <w:t>Footnotes/Endnotes with Proper Punctuation</w:t>
      </w:r>
    </w:p>
    <w:p w:rsidR="00104838" w:rsidRPr="00104838" w:rsidRDefault="00104838" w:rsidP="00104838">
      <w:pPr>
        <w:numPr>
          <w:ilvl w:val="0"/>
          <w:numId w:val="10"/>
        </w:numPr>
      </w:pPr>
      <w:r w:rsidRPr="00104838">
        <w:t>Smith , J .The History of Science. .Oxford University Press , 2020 .</w:t>
      </w:r>
      <w:proofErr w:type="gramStart"/>
      <w:r w:rsidRPr="00104838">
        <w:rPr>
          <w:i/>
          <w:iCs/>
        </w:rPr>
      </w:r>
      <w:r w:rsidRPr="00104838"/>
      <w:proofErr w:type="gramEnd"/>
      <w:r w:rsidRPr="00104838"/>
      <w:proofErr w:type="gramStart"/>
      <w:r w:rsidRPr="00104838"/>
      <w:proofErr w:type="gramEnd"/>
    </w:p>
    <w:p w:rsidR="00104838" w:rsidRPr="00104838" w:rsidRDefault="00104838" w:rsidP="00104838">
      <w:pPr>
        <w:numPr>
          <w:ilvl w:val="0"/>
          <w:numId w:val="10"/>
        </w:numPr>
      </w:pPr>
      <w:r w:rsidRPr="00104838">
        <w:rPr>
          <w:color w:val="FF0000"/>
        </w:rPr>
        <w:t>Johnson , L . “Economic Trends in the the Twenty–First Century Century. “Journal of Economics, , vol . 15 , no . two , 2019 , pp . 45–67 .</w:t>
      </w:r>
      <w:r w:rsidRPr="00104838">
        <w:rPr>
          <w:i/>
          <w:iCs/>
        </w:rPr>
      </w:r>
      <w:r w:rsidRPr="00104838">
        <w:rPr>
          <w:color w:val="FF0000"/>
        </w:rPr>
      </w:r>
    </w:p>
    <w:p w:rsidR="00104838" w:rsidRPr="00104838" w:rsidRDefault="00104838" w:rsidP="00104838">
      <w:pPr>
        <w:numPr>
          <w:ilvl w:val="0"/>
          <w:numId w:val="10"/>
        </w:numPr>
      </w:pPr>
      <w:r w:rsidRPr="00104838">
        <w:t>See Brown , M .Psychological Theories of Learning. .Routledge, , 2018 .</w:t>
      </w:r>
      <w:r w:rsidRPr="00104838">
        <w:rPr>
          <w:i/>
          <w:iCs/>
        </w:rPr>
      </w:r>
      <w:r w:rsidRPr="00104838"/>
      <w:proofErr w:type="spellStart"/>
      <w:proofErr w:type="gramStart"/>
      <w:r w:rsidRPr="00104838">
        <w:rPr>
          <w:color w:val="FF0000"/>
        </w:rPr>
      </w:r>
      <w:proofErr w:type="spellEnd"/>
      <w:r w:rsidRPr="00104838"/>
      <w:proofErr w:type="gramEnd"/>
    </w:p>
    <w:p w:rsidR="00104838" w:rsidRPr="00104838" w:rsidRDefault="00104838" w:rsidP="00104838">
      <w:pPr>
        <w:numPr>
          <w:ilvl w:val="0"/>
          <w:numId w:val="10"/>
        </w:numPr>
      </w:pPr>
      <w:r w:rsidRPr="00104838">
        <w:rPr>
          <w:color w:val="FF0000"/>
        </w:rPr>
        <w:t>For Further Discussion , Refer to Taylor , R .Modern Architecture. .MIT Press , 2021 .</w:t>
      </w:r>
      <w:r w:rsidRPr="00104838">
        <w:rPr>
          <w:i/>
          <w:iCs/>
        </w:rPr>
      </w:r>
      <w:r w:rsidRPr="00104838"/>
      <w:proofErr w:type="gramStart"/>
      <w:r w:rsidRPr="00104838">
        <w:rPr>
          <w:color w:val="FF0000"/>
        </w:rPr>
      </w:r>
      <w:proofErr w:type="gramEnd"/>
    </w:p>
    <w:p w:rsidR="00104838" w:rsidRPr="00104838" w:rsidRDefault="00104838" w:rsidP="00104838">
      <w:pPr>
        <w:numPr>
          <w:ilvl w:val="0"/>
          <w:numId w:val="10"/>
        </w:numPr>
      </w:pPr>
      <w:r w:rsidRPr="00104838">
        <w:t>Additional Insightscan be Foundin Davis , K . “Climate Change, and Policy. “Environmental Studies Review, , vol . 10 , no . one , 2022 , pp . 30–48 .</w:t>
      </w:r>
      <w:proofErr w:type="gramStart"/>
      <w:r w:rsidRPr="00104838"/>
      <w:proofErr w:type="gramEnd"/>
      <w:r w:rsidRPr="00104838">
        <w:rPr>
          <w:color w:val="FF0000"/>
        </w:rPr>
      </w:r>
      <w:r w:rsidRPr="00104838">
        <w:rPr>
          <w:i/>
          <w:iCs/>
        </w:rPr>
      </w:r>
      <w:r w:rsidRPr="00104838">
        <w:rPr>
          <w:color w:val="FF0000"/>
        </w:rPr>
      </w:r>
    </w:p>
    <w:p w:rsidR="00104838" w:rsidRPr="00A70423" w:rsidRDefault="00104838" w:rsidP="00A70423"/>
    <w:p w:rsidR="00104838" w:rsidRPr="00104838" w:rsidRDefault="00104838" w:rsidP="00104838">
      <w:pPr>
        <w:rPr>
          <w:b/>
          <w:bCs/>
        </w:rPr>
      </w:pPr>
      <w:r w:rsidRPr="00104838">
        <w:rPr>
          <w:b/>
          <w:bCs/>
          <w:color w:val="FF0000"/>
        </w:rPr>
        <w:t>Footnotes/Endnotes in Sentence Case</w:t>
      </w:r>
    </w:p>
    <w:p w:rsidR="00104838" w:rsidRPr="00104838" w:rsidRDefault="00104838" w:rsidP="00104838">
      <w:pPr>
        <w:numPr>
          <w:ilvl w:val="0"/>
          <w:numId w:val="11"/>
        </w:numPr>
      </w:pPr>
      <w:r w:rsidRPr="00104838">
        <w:t>Smith , J .The History of Science. .Oxford University Press , 2020 .</w:t>
      </w:r>
      <w:proofErr w:type="gramStart"/>
      <w:r w:rsidRPr="00104838">
        <w:rPr>
          <w:i/>
          <w:iCs/>
        </w:rPr>
      </w:r>
      <w:r w:rsidRPr="00104838"/>
      <w:proofErr w:type="gramEnd"/>
      <w:r w:rsidRPr="00104838"/>
      <w:proofErr w:type="gramStart"/>
      <w:r w:rsidRPr="00104838"/>
      <w:proofErr w:type="gramEnd"/>
    </w:p>
    <w:p w:rsidR="00104838" w:rsidRPr="00104838" w:rsidRDefault="00104838" w:rsidP="00104838">
      <w:pPr>
        <w:numPr>
          <w:ilvl w:val="0"/>
          <w:numId w:val="11"/>
        </w:numPr>
      </w:pPr>
      <w:proofErr w:type="gramStart"/>
      <w:r w:rsidRPr="00104838">
        <w:rPr>
          <w:color w:val="FF0000"/>
        </w:rPr>
        <w:t>Johnson , L . “Economic Trends in the the Twenty–First Century Century. “Journal of Economics, , vol . 15 , no . two , 2019 , pp . 45–67 .</w:t>
      </w:r>
      <w:proofErr w:type="gramEnd"/>
      <w:r w:rsidRPr="00104838"/>
      <w:proofErr w:type="gramStart"/>
      <w:r w:rsidRPr="00104838">
        <w:rPr>
          <w:i/>
          <w:iCs/>
        </w:rPr>
      </w:r>
      <w:r w:rsidRPr="00104838">
        <w:rPr>
          <w:color w:val="FF0000"/>
        </w:rPr>
      </w:r>
      <w:proofErr w:type="gramEnd"/>
    </w:p>
    <w:p w:rsidR="00104838" w:rsidRPr="00104838" w:rsidRDefault="00104838" w:rsidP="00104838">
      <w:pPr>
        <w:numPr>
          <w:ilvl w:val="0"/>
          <w:numId w:val="11"/>
        </w:numPr>
      </w:pPr>
      <w:r w:rsidRPr="00104838">
        <w:t>See Brown , M .Psychological Theories of Learning. .Routledge, , 2018 .</w:t>
      </w:r>
      <w:r w:rsidRPr="00104838">
        <w:rPr>
          <w:i/>
          <w:iCs/>
        </w:rPr>
      </w:r>
      <w:r w:rsidRPr="00104838"/>
      <w:proofErr w:type="spellStart"/>
      <w:proofErr w:type="gramStart"/>
      <w:r w:rsidRPr="00104838">
        <w:rPr>
          <w:color w:val="FF0000"/>
        </w:rPr>
      </w:r>
      <w:proofErr w:type="spellEnd"/>
      <w:r w:rsidRPr="00104838"/>
      <w:proofErr w:type="gramEnd"/>
    </w:p>
    <w:p w:rsidR="00104838" w:rsidRPr="00104838" w:rsidRDefault="00104838" w:rsidP="00104838">
      <w:pPr>
        <w:numPr>
          <w:ilvl w:val="0"/>
          <w:numId w:val="11"/>
        </w:numPr>
      </w:pPr>
      <w:r w:rsidRPr="00104838">
        <w:rPr>
          <w:color w:val="FF0000"/>
        </w:rPr>
        <w:t>For Further Discussion , Refer to Taylor , R .Modern Architecture. .MIT Press , 2021 .</w:t>
      </w:r>
      <w:r w:rsidRPr="00104838">
        <w:rPr>
          <w:i/>
          <w:iCs/>
        </w:rPr>
      </w:r>
      <w:r w:rsidRPr="00104838"/>
      <w:proofErr w:type="gramStart"/>
      <w:r w:rsidRPr="00104838">
        <w:rPr>
          <w:color w:val="FF0000"/>
        </w:rPr>
      </w:r>
      <w:proofErr w:type="gramEnd"/>
    </w:p>
    <w:p w:rsidR="00104838" w:rsidRPr="00104838" w:rsidRDefault="00104838" w:rsidP="00104838">
      <w:pPr>
        <w:numPr>
          <w:ilvl w:val="0"/>
          <w:numId w:val="11"/>
        </w:numPr>
      </w:pPr>
      <w:r w:rsidRPr="00104838">
        <w:rPr>
          <w:color w:val="FF0000"/>
        </w:rPr>
        <w:t>Additional Insights can be Found in Davis , K . “Climate Change, and Policy. “Environmental Studies Review, , vol . 10 , no . one , 2022 , pp . 30–48 .</w:t>
      </w:r>
      <w:proofErr w:type="gramStart"/>
      <w:r w:rsidRPr="00104838">
        <w:rPr>
          <w:i/>
          <w:iCs/>
        </w:rPr>
      </w:r>
      <w:r w:rsidRPr="00104838">
        <w:rPr>
          <w:color w:val="FF0000"/>
        </w:rPr>
      </w:r>
      <w:proofErr w:type="gramEnd"/>
    </w:p>
    <w:p w:rsidR="006F4757" w:rsidRPr="00155D65" w:rsidRDefault="006F4757" w:rsidP="00155D65"/>
    <w:sectPr w:rsidR="006F4757" w:rsidRPr="00155D65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97B9A"/>
    <w:multiLevelType w:val="multilevel"/>
    <w:tmpl w:val="0E9E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C16DC8"/>
    <w:multiLevelType w:val="multilevel"/>
    <w:tmpl w:val="B3D2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B692E"/>
    <w:multiLevelType w:val="multilevel"/>
    <w:tmpl w:val="C67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527A86"/>
    <w:multiLevelType w:val="multilevel"/>
    <w:tmpl w:val="5F8C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5254ED"/>
    <w:multiLevelType w:val="multilevel"/>
    <w:tmpl w:val="7CAC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8F102E"/>
    <w:multiLevelType w:val="multilevel"/>
    <w:tmpl w:val="ADA8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764881"/>
    <w:multiLevelType w:val="multilevel"/>
    <w:tmpl w:val="61B0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FD1005"/>
    <w:multiLevelType w:val="multilevel"/>
    <w:tmpl w:val="9DA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825426"/>
    <w:multiLevelType w:val="multilevel"/>
    <w:tmpl w:val="DDC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520D25"/>
    <w:multiLevelType w:val="multilevel"/>
    <w:tmpl w:val="E3E2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06CDA"/>
    <w:multiLevelType w:val="multilevel"/>
    <w:tmpl w:val="5C5C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oNotDisplayPageBoundaries/>
  <w:proofState w:spelling="clean" w:grammar="clean"/>
  <w:defaultTabStop w:val="720"/>
  <w:characterSpacingControl w:val="doNotCompress"/>
  <w:compat/>
  <w:rsids>
    <w:rsidRoot w:val="00155D65"/>
    <w:rsid w:val="00023359"/>
    <w:rsid w:val="0007471F"/>
    <w:rsid w:val="00104838"/>
    <w:rsid w:val="00155D65"/>
    <w:rsid w:val="001F0F68"/>
    <w:rsid w:val="002274EE"/>
    <w:rsid w:val="002F30D6"/>
    <w:rsid w:val="003652BF"/>
    <w:rsid w:val="00573768"/>
    <w:rsid w:val="005D02E5"/>
    <w:rsid w:val="00654D84"/>
    <w:rsid w:val="006F4757"/>
    <w:rsid w:val="007B11AF"/>
    <w:rsid w:val="00811794"/>
    <w:rsid w:val="00896D3E"/>
    <w:rsid w:val="008A4C8B"/>
    <w:rsid w:val="00983806"/>
    <w:rsid w:val="00A70423"/>
    <w:rsid w:val="00CC7CAB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BPP</cp:lastModifiedBy>
  <cp:revision>1</cp:revision>
  <dcterms:created xsi:type="dcterms:W3CDTF">2025-02-06T09:35:00Z</dcterms:created>
  <dcterms:modified xsi:type="dcterms:W3CDTF">2025-02-06T11:37:00Z</dcterms:modified>
</cp:coreProperties>
</file>