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  <w:b/>
          <w:bCs/>
        </w:rPr>
        <w:t>Organizational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Behavior</w:t>
      </w:r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r w:rsidRPr="00D47CCA">
        <w:rPr>
          <w:rFonts w:asciiTheme="majorBidi" w:hAnsiTheme="majorBidi" w:cstheme="majorBidi"/>
        </w:rPr>
        <w:t>professional</w:t>
      </w:r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atonal behavior explores the </w:t>
      </w:r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</w:t>
      </w:r>
      <w:r w:rsidRPr="00D47CCA">
        <w:rPr>
          <w:rFonts w:asciiTheme="majorBidi" w:hAnsiTheme="majorBidi" w:cstheme="majorBidi"/>
        </w:rPr>
        <w:t xml:space="preserve"> of human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Behavior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dynamics. It emerged as a distinct area of study in the early 20eh century, evolving from scientific management and human relations movements. Today, OB is a vital component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include: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 xml:space="preserve"> build effective teams?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culture?</w:t>
      </w:r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r w:rsidRPr="00D47CCA">
        <w:rPr>
          <w:rFonts w:asciiTheme="majorBidi" w:hAnsiTheme="majorBidi" w:cstheme="majorBidi"/>
          <w:b/>
          <w:bCs/>
        </w:rPr>
        <w:t>Behavior</w:t>
      </w:r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r w:rsidRPr="00D47CCA">
        <w:rPr>
          <w:rFonts w:asciiTheme="majorBidi" w:hAnsiTheme="majorBidi" w:cstheme="majorBidi"/>
        </w:rPr>
        <w:t>conscientiousness</w:t>
      </w:r>
      <w:r w:rsidRPr="00D47CCA">
        <w:rPr>
          <w:rFonts w:asciiTheme="majorBidi" w:hAnsiTheme="majorBidi" w:cstheme="majorBidi"/>
        </w:rPr>
        <w:t xml:space="preserve"> and </w:t>
      </w:r>
      <w:r w:rsidRPr="00D47CCA">
        <w:rPr>
          <w:rFonts w:asciiTheme="majorBidi" w:hAnsiTheme="majorBidi" w:cstheme="majorBidi"/>
        </w:rPr>
        <w:t>openness</w:t>
      </w:r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productivity and morale.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