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48"/>
          <w:szCs w:val="48"/>
        </w:rPr>
        <w:t xml:space="preserve">Table.docx</w:t>
      </w:r>
    </w:p>
    <w:p>
      <w:pPr>
        <w:spacing w:before="120" w:after="120"/>
      </w:pPr>
      <w:r>
        <w:rPr>
          <w:sz w:val="22"/>
          <w:szCs w:val="22"/>
        </w:rPr>
        <w:t xml:space="preserve">Table 3.1: The term-document matrix for five words in four magazine documents. Each cell contains the number of times a word (row) appears in the document (column).</w:t>
      </w:r>
    </w:p>
    <w:p>
      <w:pPr>
        <w:spacing w:before="120" w:after="120"/>
      </w:pPr>
      <w:r>
        <w:rPr>
          <w:sz w:val="22"/>
          <w:szCs w:val="22"/>
        </w:rPr>
        <w:t xml:space="preserve">Table 3.2: The TF matrix for terms ‘the’, ‘lazy’, ‘dog’, ‘quick’, and ‘fox’ 	with respect to four documents: Doc 1, Doc 2, Doc 3, and Doc 4.</w:t>
      </w:r>
    </w:p>
    <w:p>
      <w:pPr>
        <w:spacing w:before="120" w:after="120"/>
      </w:pPr>
      <w:r>
        <w:rPr>
          <w:sz w:val="22"/>
          <w:szCs w:val="22"/>
        </w:rPr>
        <w:t xml:space="preserve">Table 3.3: The TF-IDF matrix for the terms, ‘the’, ‘lazy’, ‘dog’, ‘quick’, and ‘fox’ with respect to the four documents: Doc 1, Doc 2, Doc 3, and Doc 4.</w:t>
      </w:r>
    </w:p>
    <w:p>
      <w:pPr>
        <w:spacing w:before="120" w:after="120"/>
      </w:pPr>
      <w:r>
        <w:rPr>
          <w:sz w:val="22"/>
          <w:szCs w:val="22"/>
        </w:rPr>
        <w:t xml:space="preserve">Table 3.4: An illustration of co-occurrence probabilities and ratios for the target words comedy and horror with k probe words as context from a hypothetical corpus.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2024-11-13T12:54:04.907Z</dcterms:created>
  <dcterms:modified xsi:type="dcterms:W3CDTF">2024-11-13T12:54:04.912Z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