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七处征心究竟在破什么"/>
    <w:p>
      <w:pPr>
        <w:pStyle w:val="Heading1"/>
      </w:pPr>
      <w:r>
        <w:rPr>
          <w:rFonts w:hint="eastAsia"/>
        </w:rPr>
        <w:t xml:space="preserve">七处征心究竟在破什么？</w:t>
      </w:r>
    </w:p>
    <w:bookmarkStart w:id="24" w:name="借助-lean-条件证明重读能所不二"/>
    <w:p>
      <w:pPr>
        <w:pStyle w:val="Heading2"/>
      </w:pPr>
      <w:r>
        <w:rPr>
          <w:rFonts w:hint="eastAsia"/>
        </w:rPr>
        <w:t xml:space="preserve">借助</w:t>
      </w:r>
      <w:r>
        <w:t xml:space="preserve"> Lean </w:t>
      </w:r>
      <w:r>
        <w:rPr>
          <w:rFonts w:hint="eastAsia"/>
        </w:rPr>
        <w:t xml:space="preserve">条件证明重读“能所不二”</w:t>
      </w:r>
    </w:p>
    <w:p>
      <w:pPr>
        <w:pStyle w:val="FirstParagraph"/>
      </w:pPr>
      <w:r>
        <w:rPr>
          <w:b/>
          <w:bCs/>
        </w:rPr>
        <w:t xml:space="preserve">Jason Wu</w:t>
      </w:r>
      <w:r>
        <w:br/>
      </w:r>
      <w:r>
        <w:rPr>
          <w:rFonts w:hint="eastAsia"/>
        </w:rPr>
        <w:t xml:space="preserve">佛教读者交流文章</w:t>
      </w:r>
      <w:r>
        <w:t xml:space="preserve"> · v1.0 · </w:t>
      </w:r>
      <w:r>
        <w:rPr>
          <w:rFonts w:hint="eastAsia"/>
        </w:rPr>
        <w:t xml:space="preserve">2026年10月4日</w:t>
      </w:r>
    </w:p>
    <w:p>
      <w:pPr>
        <w:pStyle w:val="BodyText"/>
      </w:pPr>
      <w:r>
        <w:rPr>
          <w:rFonts w:hint="eastAsia"/>
          <w:b/>
          <w:bCs/>
        </w:rPr>
        <w:t xml:space="preserve">内容提要：</w:t>
      </w:r>
      <w:r>
        <w:t xml:space="preserve"> </w:t>
      </w:r>
      <w:r>
        <w:rPr>
          <w:rFonts w:hint="eastAsia"/>
        </w:rPr>
        <w:t xml:space="preserve">七处征心看似不断追问心的位置，是否也在追问：我们所认定的那个“能知的我”，究竟是不是已经被想成一件与所知境界相对的东西？本文结合经文与注疏，提出一种贯通七处的读法，并借助</w:t>
      </w:r>
      <w:r>
        <w:t xml:space="preserve"> Lean </w:t>
      </w:r>
      <w:r>
        <w:rPr>
          <w:rFonts w:hint="eastAsia"/>
        </w:rPr>
        <w:t xml:space="preserve">条件证明说明这种读法需要哪些前提、能够推出什么。“能所不二”是有待经教印证与修学体会的解释线索，Lean</w:t>
      </w:r>
      <w:r>
        <w:t xml:space="preserve"> </w:t>
      </w:r>
      <w:r>
        <w:rPr>
          <w:rFonts w:hint="eastAsia"/>
        </w:rPr>
        <w:t xml:space="preserve">的作用是帮助我们把论证说清楚。</w:t>
      </w:r>
    </w:p>
    <w:bookmarkStart w:id="9" w:name="一心的位置找不到还是所认的心需要重新审视"/>
    <w:p>
      <w:pPr>
        <w:pStyle w:val="Heading3"/>
      </w:pPr>
      <w:r>
        <w:rPr>
          <w:rFonts w:hint="eastAsia"/>
        </w:rPr>
        <w:t xml:space="preserve">一、心的位置找不到，还是所认的心需要重新审视？</w:t>
      </w:r>
    </w:p>
    <w:p>
      <w:pPr>
        <w:pStyle w:val="FirstParagraph"/>
      </w:pPr>
      <w:r>
        <w:rPr>
          <w:rFonts w:hint="eastAsia"/>
        </w:rPr>
        <w:t xml:space="preserve">初读《楞严经》七处征心，很容易把它读成一场寻找心的位置的问答：身内不对，身外也不对；根里不对，中间也不对；最后说无处可著，仍然不对。读到这里，难免想问：位置都被排除了，究竟该把心放在哪里？</w:t>
      </w:r>
    </w:p>
    <w:p>
      <w:pPr>
        <w:pStyle w:val="BodyText"/>
      </w:pPr>
      <w:r>
        <w:rPr>
          <w:rFonts w:hint="eastAsia"/>
        </w:rPr>
        <w:t xml:space="preserve">但这个问题，可能仍在重复阿难所面对的困难。我们已经先认定有一个能够独立指出来的“心”，接下来才为它寻找住所。住所换了，所认定的那个东西却没有经过充分审查。</w:t>
      </w:r>
    </w:p>
    <w:p>
      <w:pPr>
        <w:pStyle w:val="BodyText"/>
      </w:pPr>
      <w:r>
        <w:rPr>
          <w:rFonts w:hint="eastAsia"/>
        </w:rPr>
        <w:t xml:space="preserve">因此，可以换一个角度读这七段：佛陀是否也在追问，你把什么认作了心？你所指出的，是不是一个与所知境界相对的能知者？如果这个认定没有改变，那么把它搬到身外、安在根里，乃至说它没有固定位置，是否都还没有触及问题的根本？</w:t>
      </w:r>
    </w:p>
    <w:p>
      <w:pPr>
        <w:pStyle w:val="BodyText"/>
      </w:pPr>
      <w:r>
        <w:rPr>
          <w:rFonts w:hint="eastAsia"/>
        </w:rPr>
        <w:t xml:space="preserve">本文尝试沿这条线索重读七处。这里说“能所不二”，并不是把经文压缩成一句口号，更不是宣称已经用程序证明了真心是什么。我们采取的原则是：经文提供指引，论证检查误认，Lean</w:t>
      </w:r>
      <w:r>
        <w:t xml:space="preserve"> </w:t>
      </w:r>
      <w:r>
        <w:rPr>
          <w:rFonts w:hint="eastAsia"/>
        </w:rPr>
        <w:t xml:space="preserve">核对明确前提下的推导；这些工作的完成，不等于修证的完成。可以指出某种认定为什么不能成立，而不把“佛”“如来藏”另立为一个已经解释清楚的对象。</w:t>
      </w:r>
    </w:p>
    <w:bookmarkEnd w:id="9"/>
    <w:bookmarkStart w:id="10" w:name="二先回到那句将何所见谁为爱乐"/>
    <w:p>
      <w:pPr>
        <w:pStyle w:val="Heading3"/>
      </w:pPr>
      <w:r>
        <w:rPr>
          <w:rFonts w:hint="eastAsia"/>
        </w:rPr>
        <w:t xml:space="preserve">二、先回到那句“将何所见？谁为爱乐？”</w:t>
      </w:r>
    </w:p>
    <w:p>
      <w:pPr>
        <w:pStyle w:val="FirstParagraph"/>
      </w:pPr>
      <w:r>
        <w:rPr>
          <w:rFonts w:hint="eastAsia"/>
        </w:rPr>
        <w:t xml:space="preserve">七处征心不是凭空讨论空间。它承接阿难见佛胜相、心生爱乐而出家的因缘。经文中这一段问答是：</w:t>
      </w:r>
    </w:p>
    <w:p>
      <w:pPr>
        <w:pStyle w:val="BlockText"/>
      </w:pPr>
      <w:r>
        <w:rPr>
          <w:rFonts w:hint="eastAsia"/>
        </w:rPr>
        <w:t xml:space="preserve">「阿難！我今問汝，當汝發心緣於如來三十二相，將何所見？誰為愛樂？」阿難白佛言：「世尊！如是愛樂，用我心目。由目觀見如來勝相，心生愛樂，故我發心，願捨生死。」</w:t>
      </w:r>
    </w:p>
    <w:p>
      <w:pPr>
        <w:pStyle w:val="FirstParagraph"/>
      </w:pPr>
      <w:r>
        <w:rPr>
          <w:rFonts w:hint="eastAsia"/>
        </w:rPr>
        <w:t xml:space="preserve">佛随后才追问：</w:t>
      </w:r>
    </w:p>
    <w:p>
      <w:pPr>
        <w:pStyle w:val="BlockText"/>
      </w:pPr>
      <w:r>
        <w:rPr>
          <w:rFonts w:hint="eastAsia"/>
        </w:rPr>
        <w:t xml:space="preserve">「吾今問汝，唯心與目，今何所在？」[1]</w:t>
      </w:r>
    </w:p>
    <w:p>
      <w:pPr>
        <w:pStyle w:val="FirstParagraph"/>
      </w:pPr>
      <w:r>
        <w:rPr>
          <w:rFonts w:hint="eastAsia"/>
        </w:rPr>
        <w:t xml:space="preserve">这里既有“所见”的胜相，也有阿难所认定的能见、能生爱乐者。问题并不只在眼睛长在哪里，还在于：阿难用来解释见与爱的这个“我心”，究竟是怎样被认定的？</w:t>
      </w:r>
    </w:p>
    <w:p>
      <w:pPr>
        <w:pStyle w:val="BodyText"/>
      </w:pPr>
      <w:r>
        <w:rPr>
          <w:rFonts w:hint="eastAsia"/>
        </w:rPr>
        <w:t xml:space="preserve">日常说“我看见一棵树”“我喜欢这个声音”，并不困难。但如果进一步认定，在所见所闻之外，必定有一个可以单独指出、单独安放的能知实体，并说“这就是真实的我的心性”，便多走了一步。七处征心可以帮助我们审查的，正是这一步。</w:t>
      </w:r>
    </w:p>
    <w:p>
      <w:pPr>
        <w:pStyle w:val="BodyText"/>
      </w:pPr>
      <w:r>
        <w:rPr>
          <w:rFonts w:hint="eastAsia"/>
        </w:rPr>
        <w:t xml:space="preserve">需要分清：能见与所见、眼根与色尘，在说明认识活动时可以有功能上的区别。我们所讨论的“对立”，特指把这种区别执成彼此分立的实在，再把能知的一边认作自心。不能把所有功能区别都直接说成妄执，否则连经文用来展开问答的根、尘、识也无法分说了。</w:t>
      </w:r>
    </w:p>
    <w:bookmarkEnd w:id="10"/>
    <w:bookmarkStart w:id="11" w:name="三前三处位置变了所认定的能知者改变了吗"/>
    <w:p>
      <w:pPr>
        <w:pStyle w:val="Heading3"/>
      </w:pPr>
      <w:r>
        <w:rPr>
          <w:rFonts w:hint="eastAsia"/>
        </w:rPr>
        <w:t xml:space="preserve">三、前三处：位置变了，所认定的“能知者”改变了吗？</w:t>
      </w:r>
    </w:p>
    <w:p>
      <w:pPr>
        <w:pStyle w:val="FirstParagraph"/>
      </w:pPr>
      <w:r>
        <w:rPr>
          <w:rFonts w:hint="eastAsia"/>
        </w:rPr>
        <w:t xml:space="preserve">第一处，阿难说「如是識心，實居身內」。在他提出的图景中，有一个住在身体里面、能够了知外境的心。佛陀以人在讲堂先见堂内、再见堂外为引导，追问：照你对这个了知心的理解，若它在里面，为什么身体内部的情况却不明了？[2]</w:t>
      </w:r>
    </w:p>
    <w:p>
      <w:pPr>
        <w:pStyle w:val="BodyText"/>
      </w:pPr>
      <w:r>
        <w:rPr>
          <w:rFonts w:hint="eastAsia"/>
        </w:rPr>
        <w:t xml:space="preserve">这里要审查的是阿难提出的模型，以及这个模型承诺的了知能力。不能把它直接改写成现代医学命题，说凡在身体里的认知过程都应看见内脏。这样的推广需要另外的依据。</w:t>
      </w:r>
    </w:p>
    <w:p>
      <w:pPr>
        <w:pStyle w:val="BodyText"/>
      </w:pPr>
      <w:r>
        <w:rPr>
          <w:rFonts w:hint="eastAsia"/>
        </w:rPr>
        <w:t xml:space="preserve">第二处，阿难便把心移到身外。佛继续检查：若照你的安排，身心已经相外而不相干，为什么眼见佛手时，心又能随之分别？身体与心的相知，和你提出的那个分离模型，怎样相容？这也不是说凡在空间上分开的东西都不能互相作用。[2]</w:t>
      </w:r>
    </w:p>
    <w:p>
      <w:pPr>
        <w:pStyle w:val="BodyText"/>
      </w:pPr>
      <w:r>
        <w:rPr>
          <w:rFonts w:hint="eastAsia"/>
        </w:rPr>
        <w:t xml:space="preserve">第三处，阿难提出“潜伏根里”，用瑠璃罩眼而不碍见作比喻。佛沿比喻追问：既能见瑠璃，为什么不见眼？若说见眼，眼又成为所见的境，原先所说的“随见随即分别”如何维持？[2]</w:t>
      </w:r>
    </w:p>
    <w:p>
      <w:pPr>
        <w:pStyle w:val="BodyText"/>
      </w:pPr>
      <w:r>
        <w:rPr>
          <w:rFonts w:hint="eastAsia"/>
        </w:rPr>
        <w:t xml:space="preserve">三个模型各有具体的问难，不能只用同一句话代替。但从共同线索看，它们也有连续性：阿难不断调整能知者与身体、眼根、外物的关系，试图保住“这个可指出的能知者，就是我的心”的认定。位置上的修补，未必已经回答了认定本身的问题。</w:t>
      </w:r>
    </w:p>
    <w:bookmarkEnd w:id="11"/>
    <w:bookmarkStart w:id="12" w:name="四第四处看见了暗为什么就认定看见了里面"/>
    <w:p>
      <w:pPr>
        <w:pStyle w:val="Heading3"/>
      </w:pPr>
      <w:r>
        <w:rPr>
          <w:rFonts w:hint="eastAsia"/>
        </w:rPr>
        <w:t xml:space="preserve">四、第四处：看见了暗，为什么就认定看见了里面？</w:t>
      </w:r>
    </w:p>
    <w:p>
      <w:pPr>
        <w:pStyle w:val="FirstParagraph"/>
      </w:pPr>
      <w:r>
        <w:rPr>
          <w:rFonts w:hint="eastAsia"/>
        </w:rPr>
        <w:t xml:space="preserve">到了第四处，阿难想用闭眼见暗，挽回“心在身内”的解释。身体内部是暗的，闭眼也见暗，于是说闭眼就是见内。</w:t>
      </w:r>
    </w:p>
    <w:p>
      <w:pPr>
        <w:pStyle w:val="BodyText"/>
      </w:pPr>
      <w:r>
        <w:rPr>
          <w:rFonts w:hint="eastAsia"/>
        </w:rPr>
        <w:t xml:space="preserve">这段最容易讲得过于复杂。它的关键可以先用一句大白话说清：</w:t>
      </w:r>
      <w:r>
        <w:rPr>
          <w:rFonts w:hint="eastAsia"/>
          <w:b/>
          <w:bCs/>
        </w:rPr>
        <w:t xml:space="preserve">你确实见到了暗，但你凭什么断定，这个暗就是身体里面？</w:t>
      </w:r>
    </w:p>
    <w:p>
      <w:pPr>
        <w:pStyle w:val="BodyText"/>
      </w:pPr>
      <w:r>
        <w:rPr>
          <w:rFonts w:hint="eastAsia"/>
        </w:rPr>
        <w:t xml:space="preserve">暗成为所见，与暗已被证明是内脏，是两回事。身处暗室也能见暗，不能仅凭“暗”这个共同特点，就说房间里的暗都是自己的身体内部。这里被检查的，是从经验内容到位置判断的那一步。[3]</w:t>
      </w:r>
    </w:p>
    <w:p>
      <w:pPr>
        <w:pStyle w:val="BodyText"/>
      </w:pPr>
      <w:r>
        <w:rPr>
          <w:rFonts w:hint="eastAsia"/>
        </w:rPr>
        <w:t xml:space="preserve">如果再解释为“闭眼后我转向里面看”，就要交代这种返观能力。经文以能否见自己的脸继续问难。我们的条件推导把连接说出来：若所主张的同一返观能力应贯通开眼、闭眼，并能直接返见自面，那么不能见面，便成为反对这一解释的理由。这项连接必须明说，不能当成所有“向内觉察”都天然满足的定律。</w:t>
      </w:r>
    </w:p>
    <w:p>
      <w:pPr>
        <w:pStyle w:val="BodyText"/>
      </w:pPr>
      <w:r>
        <w:rPr>
          <w:rFonts w:hint="eastAsia"/>
        </w:rPr>
        <w:t xml:space="preserve">顺着七处的共同线索，第四处值得注意的便是：一个被见到的境，怎样被用来支持那个能见之心的位置？“见到某物”与“找到自心”，中间并不是没有距离。若不审查，所见的暗便可能成了又一次安置心的理由。</w:t>
      </w:r>
    </w:p>
    <w:bookmarkEnd w:id="12"/>
    <w:bookmarkStart w:id="13" w:name="五第五第六处依缘而起为什么仍然受到追问"/>
    <w:p>
      <w:pPr>
        <w:pStyle w:val="Heading3"/>
      </w:pPr>
      <w:r>
        <w:rPr>
          <w:rFonts w:hint="eastAsia"/>
        </w:rPr>
        <w:t xml:space="preserve">五、第五、第六处：依缘而起，为什么仍然受到追问？</w:t>
      </w:r>
    </w:p>
    <w:p>
      <w:pPr>
        <w:pStyle w:val="FirstParagraph"/>
      </w:pPr>
      <w:r>
        <w:rPr>
          <w:rFonts w:hint="eastAsia"/>
        </w:rPr>
        <w:t xml:space="preserve">第五处比单纯内外定位更值得现代读者注意。阿难引述心法相生，接着说：</w:t>
      </w:r>
    </w:p>
    <w:p>
      <w:pPr>
        <w:pStyle w:val="BlockText"/>
      </w:pPr>
      <w:r>
        <w:rPr>
          <w:rFonts w:hint="eastAsia"/>
        </w:rPr>
        <w:t xml:space="preserve">「我今思惟：『即思惟體實我心性。隨所合處，心則隨有；亦非內、外、中間三處。』」[4]</w:t>
      </w:r>
    </w:p>
    <w:p>
      <w:pPr>
        <w:pStyle w:val="FirstParagraph"/>
      </w:pPr>
      <w:r>
        <w:rPr>
          <w:rFonts w:hint="eastAsia"/>
        </w:rPr>
        <w:t xml:space="preserve">这已经不是简单地说有一个心永远住在某个地方。他承认心随所合而有。然而，句中的「實我心性」仍然需要审查：他把所指出的思惟之体，认作了自己所求的心性。</w:t>
      </w:r>
    </w:p>
    <w:p>
      <w:pPr>
        <w:pStyle w:val="BodyText"/>
      </w:pPr>
      <w:r>
        <w:rPr>
          <w:rFonts w:hint="eastAsia"/>
        </w:rPr>
        <w:t xml:space="preserve">因此，不能把共同批判概括成“凡依赖外缘的东西都不存在”，也不能说这七处全在批判一个不依赖条件的心。第五处恰恰包含条件与接触。这里的研究问题是：阿难是否仍把心设成相合的一方，再依相合之处安置它？佛所追问的无体、有体、内出、外入，都是沿这个具体安排进行检查。[4]</w:t>
      </w:r>
    </w:p>
    <w:p>
      <w:pPr>
        <w:pStyle w:val="BodyText"/>
      </w:pPr>
      <w:r>
        <w:rPr>
          <w:rFonts w:hint="eastAsia"/>
        </w:rPr>
        <w:t xml:space="preserve">无体不能合，是在检验“随所合处，心则随有”这套说法所需的条件；它不能单独拿出来，作为佛陀承认或否认一切“无体”的普遍宣言。有体也需要结合本段理解，不能未经说明就等同于现代物质实体。</w:t>
      </w:r>
    </w:p>
    <w:p>
      <w:pPr>
        <w:pStyle w:val="BodyText"/>
      </w:pPr>
      <w:r>
        <w:rPr>
          <w:rFonts w:hint="eastAsia"/>
        </w:rPr>
        <w:t xml:space="preserve">第六处，阿难进一步借根尘生识解释中间：</w:t>
      </w:r>
    </w:p>
    <w:p>
      <w:pPr>
        <w:pStyle w:val="BlockText"/>
      </w:pPr>
      <w:r>
        <w:rPr>
          <w:rFonts w:hint="eastAsia"/>
        </w:rPr>
        <w:t xml:space="preserve">「如世尊言『眼、色為緣生於眼識』，眼有分別，色塵無知，識生其中則為心在。」[5]</w:t>
      </w:r>
    </w:p>
    <w:p>
      <w:pPr>
        <w:pStyle w:val="FirstParagraph"/>
      </w:pPr>
      <w:r>
        <w:rPr>
          <w:rFonts w:hint="eastAsia"/>
        </w:rPr>
        <w:t xml:space="preserve">“眼、色为缘生于眼识”，可以是对条件关系的说明。问题出在这段问答里，它是否又被拿来落实一个有体性的中间心：既然识生其中，这里便是心所在。</w:t>
      </w:r>
    </w:p>
    <w:p>
      <w:pPr>
        <w:pStyle w:val="BodyText"/>
      </w:pPr>
      <w:r>
        <w:rPr>
          <w:rFonts w:hint="eastAsia"/>
        </w:rPr>
        <w:t xml:space="preserve">佛于是检查这个被提出的“中”：兼两边，还是不兼两边？我们的重建还明确补出只属根、只属尘两种情况，并说明为何仅落在一边，不能满足这个独立中间的主张。这样的补充是为了把所选推理说完整，不能冒称经文本来就按四格表逐项展开。[5]</w:t>
      </w:r>
    </w:p>
    <w:p>
      <w:pPr>
        <w:pStyle w:val="BodyText"/>
      </w:pPr>
      <w:r>
        <w:rPr>
          <w:rFonts w:hint="eastAsia"/>
        </w:rPr>
        <w:t xml:space="preserve">这两处提醒我们：</w:t>
      </w:r>
      <w:r>
        <w:rPr>
          <w:rFonts w:hint="eastAsia"/>
          <w:b/>
          <w:bCs/>
        </w:rPr>
        <w:t xml:space="preserve">承认某种经验依条件生起，与把这个经验或作用认作真实自心，并不是同一件事。</w:t>
      </w:r>
      <w:r>
        <w:t xml:space="preserve"> </w:t>
      </w:r>
      <w:r>
        <w:rPr>
          <w:rFonts w:hint="eastAsia"/>
        </w:rPr>
        <w:t xml:space="preserve">今天说意识通过大脑的活动呈现，也不能仅凭措辞相似，就断言已经被这段经文证明或推翻。要比较，还得逐项核对各自说的是什么、承诺了什么。</w:t>
      </w:r>
    </w:p>
    <w:bookmarkEnd w:id="13"/>
    <w:bookmarkStart w:id="14" w:name="六第七处不给它位置为什么还没有走出原来的困难"/>
    <w:p>
      <w:pPr>
        <w:pStyle w:val="Heading3"/>
      </w:pPr>
      <w:r>
        <w:rPr>
          <w:rFonts w:hint="eastAsia"/>
        </w:rPr>
        <w:t xml:space="preserve">六、第七处：不给它位置，为什么还没有走出原来的困难？</w:t>
      </w:r>
    </w:p>
    <w:p>
      <w:pPr>
        <w:pStyle w:val="FirstParagraph"/>
      </w:pPr>
      <w:r>
        <w:rPr>
          <w:rFonts w:hint="eastAsia"/>
        </w:rPr>
        <w:t xml:space="preserve">第七处最能检验我们的共同理解。阿难已不再给心安排内、外、中间的位置，而问：</w:t>
      </w:r>
    </w:p>
    <w:p>
      <w:pPr>
        <w:pStyle w:val="BlockText"/>
      </w:pPr>
      <w:r>
        <w:rPr>
          <w:rFonts w:hint="eastAsia"/>
        </w:rPr>
        <w:t xml:space="preserve">「則我無著，名為心不？」[6]</w:t>
      </w:r>
    </w:p>
    <w:p>
      <w:pPr>
        <w:pStyle w:val="FirstParagraph"/>
      </w:pPr>
      <w:r>
        <w:rPr>
          <w:rFonts w:hint="eastAsia"/>
        </w:rPr>
        <w:t xml:space="preserve">若七处征心只是在反对具体位置，那么到了这里，似乎已经避开了。但经文仍从有无与体相继续追问：「無相則無，非無則相；相有則在，云何無著？」</w:t>
      </w:r>
    </w:p>
    <w:p>
      <w:pPr>
        <w:pStyle w:val="BodyText"/>
      </w:pPr>
      <w:r>
        <w:rPr>
          <w:rFonts w:hint="eastAsia"/>
        </w:rPr>
        <w:t xml:space="preserve">理解这一段，要注意阿难所执的“无著”，在本研究所采用的注解路线中，是无所在、无处安著的意思。不能直接把它等同于修行上不染著的解脱义，再说佛陀把不染著也否定了。</w:t>
      </w:r>
    </w:p>
    <w:p>
      <w:pPr>
        <w:pStyle w:val="BodyText"/>
      </w:pPr>
      <w:r>
        <w:rPr>
          <w:rFonts w:hint="eastAsia"/>
        </w:rPr>
        <w:t xml:space="preserve">蕅益智旭在这一处的注释尤其清楚。依原文转繁体、标点整理，可读作：</w:t>
      </w:r>
    </w:p>
    <w:p>
      <w:pPr>
        <w:pStyle w:val="BlockText"/>
      </w:pPr>
      <w:r>
        <w:rPr>
          <w:rFonts w:hint="eastAsia"/>
        </w:rPr>
        <w:t xml:space="preserve">「阿難既認緣影為心，則是另有一物，但不著在一處耳。」[7]</w:t>
      </w:r>
    </w:p>
    <w:p>
      <w:pPr>
        <w:pStyle w:val="FirstParagraph"/>
      </w:pPr>
      <w:r>
        <w:rPr>
          <w:rFonts w:hint="eastAsia"/>
        </w:rPr>
        <w:t xml:space="preserve">这句话点出了要害：位置可以取消，“另有一物”的认定却可能仍在。先认一个与境相对的东西是心，再说它不住任何地方，并不因此已经摆脱了对这个东西的执定。</w:t>
      </w:r>
    </w:p>
    <w:p>
      <w:pPr>
        <w:pStyle w:val="BodyText"/>
      </w:pPr>
      <w:r>
        <w:rPr>
          <w:rFonts w:hint="eastAsia"/>
        </w:rPr>
        <w:t xml:space="preserve">在局部推导里，“相有则在”仍是需要说明的连接条件。它适用于这里被提出的候选心及其体相解释，不能无限扩大为“凡存在者必有物理坐标”。而在七处的共同解读里，第七处所显示的是：</w:t>
      </w:r>
      <w:r>
        <w:rPr>
          <w:rFonts w:hint="eastAsia"/>
          <w:b/>
          <w:bCs/>
        </w:rPr>
        <w:t xml:space="preserve">无固定位置，并不自动等于不再把心另立为一物。</w:t>
      </w:r>
    </w:p>
    <w:bookmarkEnd w:id="14"/>
    <w:bookmarkStart w:id="15" w:name="七为什么可以用能所不二贯通七处"/>
    <w:p>
      <w:pPr>
        <w:pStyle w:val="Heading3"/>
      </w:pPr>
      <w:r>
        <w:rPr>
          <w:rFonts w:hint="eastAsia"/>
        </w:rPr>
        <w:t xml:space="preserve">七、为什么可以用“能所不二”贯通七处？</w:t>
      </w:r>
    </w:p>
    <w:p>
      <w:pPr>
        <w:pStyle w:val="FirstParagraph"/>
      </w:pPr>
      <w:r>
        <w:rPr>
          <w:rFonts w:hint="eastAsia"/>
        </w:rPr>
        <w:t xml:space="preserve">至此，一条共同线索逐渐显出：阿难一次次提出可以认定的能知者，并想以某种安排说明它就是自己的心。佛陀逐项检查这些安排，使这个认定不再能仅凭习惯而成立。</w:t>
      </w:r>
    </w:p>
    <w:p>
      <w:pPr>
        <w:pStyle w:val="BodyText"/>
      </w:pPr>
      <w:r>
        <w:rPr>
          <w:rFonts w:hint="eastAsia"/>
        </w:rPr>
        <w:t xml:space="preserve">太虚大师在《大佛顶首楞严经摄论》“破处计以无在显”中，也把问题指向执名言所生尘影为自心相，而未达心性。[8]</w:t>
      </w:r>
      <w:r>
        <w:t xml:space="preserve"> </w:t>
      </w:r>
      <w:r>
        <w:rPr>
          <w:rFonts w:hint="eastAsia"/>
        </w:rPr>
        <w:t xml:space="preserve">这与蕅益所说“认缘影为心”可以相互参照。成观法师对开篇见与爱乐的注释，则使我们注意到能所关系。[9]</w:t>
      </w:r>
    </w:p>
    <w:p>
      <w:pPr>
        <w:pStyle w:val="BodyText"/>
      </w:pPr>
      <w:r>
        <w:rPr>
          <w:rFonts w:hint="eastAsia"/>
        </w:rPr>
        <w:t xml:space="preserve">但这些注释不能被压成“所有法师都使用同一套说法”。憨山大师还从色受二蕴以及执身为心所依的线索解释这一段。[10]</w:t>
      </w:r>
      <w:r>
        <w:t xml:space="preserve"> </w:t>
      </w:r>
      <w:r>
        <w:rPr>
          <w:rFonts w:hint="eastAsia"/>
        </w:rPr>
        <w:t xml:space="preserve">不同侧重提醒我们：统摄性的读法要能回到具体经文，不能为了统一而抹平差异。</w:t>
      </w:r>
    </w:p>
    <w:p>
      <w:pPr>
        <w:pStyle w:val="BodyText"/>
      </w:pPr>
      <w:r>
        <w:rPr>
          <w:rFonts w:hint="eastAsia"/>
        </w:rPr>
        <w:t xml:space="preserve">本文所说的“能所不二”，首先是一个否定性的阅读方向：不要把认识中的能所分别，执成一边有独立自心、另一边有与它相对的境。依这个方向看，七处不同的安置，都可能是在延续同一种认定。</w:t>
      </w:r>
    </w:p>
    <w:p>
      <w:pPr>
        <w:pStyle w:val="BodyText"/>
      </w:pPr>
      <w:r>
        <w:rPr>
          <w:rFonts w:hint="eastAsia"/>
        </w:rPr>
        <w:t xml:space="preserve">这里没有从“不二”推出万物失去分别，也没有定义一个统包万物的巨大主体。若把“不二”理解为另有一个最大的“我”，只怕又把本来要审查的实体换了名字。本文也不把它写成数学等式“心＝世界”，因为等式两边的对象如何定义，恰恰没有在这项研究里得到证明。</w:t>
      </w:r>
    </w:p>
    <w:p>
      <w:pPr>
        <w:pStyle w:val="BodyText"/>
      </w:pPr>
      <w:r>
        <w:rPr>
          <w:rFonts w:hint="eastAsia"/>
        </w:rPr>
        <w:t xml:space="preserve">七处之后，经文继续说：</w:t>
      </w:r>
    </w:p>
    <w:p>
      <w:pPr>
        <w:pStyle w:val="BlockText"/>
      </w:pPr>
      <w:r>
        <w:rPr>
          <w:rFonts w:hint="eastAsia"/>
        </w:rPr>
        <w:t xml:space="preserve">「若分別性離塵無體，斯則前塵分別影事。」[11]</w:t>
      </w:r>
    </w:p>
    <w:p>
      <w:pPr>
        <w:pStyle w:val="FirstParagraph"/>
      </w:pPr>
      <w:r>
        <w:rPr>
          <w:rFonts w:hint="eastAsia"/>
        </w:rPr>
        <w:t xml:space="preserve">这一后文为“缘影”的解释提供了进一步语境。但我们应当如实说明：这是借后文回看前文的诠释线索，不是说阿难在七次问答开始以前，已经逐条接受了后面所有教义前提。</w:t>
      </w:r>
    </w:p>
    <w:bookmarkEnd w:id="15"/>
    <w:bookmarkStart w:id="16" w:name="八lean-到底帮助我们做了什么"/>
    <w:p>
      <w:pPr>
        <w:pStyle w:val="Heading3"/>
      </w:pPr>
      <w:r>
        <w:rPr>
          <w:rFonts w:hint="eastAsia"/>
        </w:rPr>
        <w:t xml:space="preserve">八、Lean</w:t>
      </w:r>
      <w:r>
        <w:t xml:space="preserve"> </w:t>
      </w:r>
      <w:r>
        <w:rPr>
          <w:rFonts w:hint="eastAsia"/>
        </w:rPr>
        <w:t xml:space="preserve">到底帮助我们做了什么？</w:t>
      </w:r>
    </w:p>
    <w:p>
      <w:pPr>
        <w:pStyle w:val="FirstParagraph"/>
      </w:pPr>
      <w:r>
        <w:t xml:space="preserve">Lean </w:t>
      </w:r>
      <w:r>
        <w:rPr>
          <w:rFonts w:hint="eastAsia"/>
        </w:rPr>
        <w:t xml:space="preserve">是一种能够核验形式证明的工具。对这项研究而言，它最实在的帮助，是迫使我们把一句顺口的解释拆开。</w:t>
      </w:r>
    </w:p>
    <w:p>
      <w:pPr>
        <w:pStyle w:val="BodyText"/>
      </w:pPr>
      <w:r>
        <w:rPr>
          <w:rFonts w:hint="eastAsia"/>
        </w:rPr>
        <w:t xml:space="preserve">我们先明确提出一个共同解释条件：</w:t>
      </w:r>
      <w:r>
        <w:rPr>
          <w:rFonts w:hint="eastAsia"/>
          <w:b/>
          <w:bCs/>
        </w:rPr>
        <w:t xml:space="preserve">若把能知者执成与所知境界分立的实体，就不能据此把它认定为这段对话所寻求的心性。</w:t>
      </w:r>
    </w:p>
    <w:p>
      <w:pPr>
        <w:pStyle w:val="BodyText"/>
      </w:pPr>
      <w:r>
        <w:rPr>
          <w:rFonts w:hint="eastAsia"/>
        </w:rPr>
        <w:t xml:space="preserve">然后，七处要分别承担一个解释责任：为什么这一处的阿难，确实作了上述认定？第一处有第一处的根据，第五处有第五处的根据，第七处还有“另有一物”的特殊问题，不能只因为编号是</w:t>
      </w:r>
      <w:r>
        <w:t xml:space="preserve"> C1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C7，就说连接已经成立。</w:t>
      </w:r>
    </w:p>
    <w:p>
      <w:pPr>
        <w:pStyle w:val="BodyText"/>
      </w:pPr>
      <w:r>
        <w:rPr>
          <w:rFonts w:hint="eastAsia"/>
        </w:rPr>
        <w:t xml:space="preserve">在接受共同条件与七条连接之后，Lean</w:t>
      </w:r>
      <w:r>
        <w:t xml:space="preserve"> </w:t>
      </w:r>
      <w:r>
        <w:rPr>
          <w:rFonts w:hint="eastAsia"/>
        </w:rPr>
        <w:t xml:space="preserve">检查到的是：这七种候选描述，不能再与相应的“这就是所求自心”的认定同时成立。</w:t>
      </w:r>
    </w:p>
    <w:p>
      <w:pPr>
        <w:pStyle w:val="BodyText"/>
      </w:pPr>
      <w:r>
        <w:rPr>
          <w:rFonts w:hint="eastAsia"/>
        </w:rPr>
        <w:t xml:space="preserve">这句话有个很重要的分寸。它不等于树没有被看见，不等于思惟没有发生，也不等于条件作用不存在。描述一种经验或作用，与把它认定为究竟的自心，是两件事。程序中的反例检查，也特意保留了“描述成立，而认定不成立”的可能。</w:t>
      </w:r>
    </w:p>
    <w:p>
      <w:pPr>
        <w:pStyle w:val="BodyText"/>
      </w:pPr>
      <w:r>
        <w:rPr>
          <w:rFonts w:hint="eastAsia"/>
        </w:rPr>
        <w:t xml:space="preserve">反过来，若删去共同条件，或者删去某一处的连接，原先那一处的排除便不能照样推出。这提醒研究者：共同解释并没有替我们免去读经、读注疏的工夫。它让这些工夫落在更清楚的位置。</w:t>
      </w:r>
    </w:p>
    <w:p>
      <w:pPr>
        <w:pStyle w:val="BodyText"/>
      </w:pPr>
      <w:r>
        <w:rPr>
          <w:rFonts w:hint="eastAsia"/>
        </w:rPr>
        <w:t xml:space="preserve">所以，不宜把本研究写成“Lean</w:t>
      </w:r>
      <w:r>
        <w:t xml:space="preserve"> </w:t>
      </w:r>
      <w:r>
        <w:rPr>
          <w:rFonts w:hint="eastAsia"/>
        </w:rPr>
        <w:t xml:space="preserve">发现或证明了能所不二”。更准确的说法是：</w:t>
      </w:r>
      <w:r>
        <w:rPr>
          <w:rFonts w:hint="eastAsia"/>
          <w:b/>
          <w:bCs/>
        </w:rPr>
        <w:t xml:space="preserve">经文与注疏启发了这个统摄性的解读，Lean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帮助检查它在明确前提下怎样贯通七处，以及哪些地方还需解释。</w:t>
      </w:r>
    </w:p>
    <w:bookmarkEnd w:id="16"/>
    <w:bookmarkStart w:id="17" w:name="九读经的帮助仍要回到自己的认定"/>
    <w:p>
      <w:pPr>
        <w:pStyle w:val="Heading3"/>
      </w:pPr>
      <w:r>
        <w:rPr>
          <w:rFonts w:hint="eastAsia"/>
        </w:rPr>
        <w:t xml:space="preserve">九、读经的帮助，仍要回到自己的认定</w:t>
      </w:r>
    </w:p>
    <w:p>
      <w:pPr>
        <w:pStyle w:val="FirstParagraph"/>
      </w:pPr>
      <w:r>
        <w:rPr>
          <w:rFonts w:hint="eastAsia"/>
        </w:rPr>
        <w:t xml:space="preserve">对佛教读者来说，这项方法的价值，不在于看见多少行程序，而在于练习分清几件容易混在一起的事：我有某种经验；我用某个名字解释它；我认定那个被解释的东西就是我。这几步并不天然等同。</w:t>
      </w:r>
    </w:p>
    <w:p>
      <w:pPr>
        <w:pStyle w:val="BodyText"/>
      </w:pPr>
      <w:r>
        <w:rPr>
          <w:rFonts w:hint="eastAsia"/>
        </w:rPr>
        <w:t xml:space="preserve">七处征心也因此可以有一种贴近日用的读法。见到了，不必立刻认定已经找到能见者的实体；有了思惟，不必立刻认定思惟之体就是所求心性；说不著一处，也不必立刻认定自己已超越执著。经文让这些自以为当然的认定，重新成为值得检查的问题。</w:t>
      </w:r>
    </w:p>
    <w:p>
      <w:pPr>
        <w:pStyle w:val="BodyText"/>
      </w:pPr>
      <w:r>
        <w:rPr>
          <w:rFonts w:hint="eastAsia"/>
        </w:rPr>
        <w:t xml:space="preserve">形式推理能帮助我们少走一步偷换，少藏一个前提，也更清楚地知道自己尚未说明什么。但若把“我的解释通过了核验”又执成“我已经证得了”，便超出了核验所做的事。</w:t>
      </w:r>
    </w:p>
    <w:p>
      <w:pPr>
        <w:pStyle w:val="BodyText"/>
      </w:pPr>
      <w:r>
        <w:rPr>
          <w:rFonts w:hint="eastAsia"/>
        </w:rPr>
        <w:t xml:space="preserve">我们能交出的，是一份有经文依据、可以讨论、能够检查的理解。它若使读者更愿意如实审查自己的认定，并回到经教与修学中继续参究，便已发挥了这项工具应有的作用。</w:t>
      </w:r>
    </w:p>
    <w:bookmarkEnd w:id="17"/>
    <w:bookmarkStart w:id="23" w:name="引文与阅读依据"/>
    <w:p>
      <w:pPr>
        <w:pStyle w:val="Heading3"/>
      </w:pPr>
      <w:r>
        <w:rPr>
          <w:rFonts w:hint="eastAsia"/>
        </w:rPr>
        <w:t xml:space="preserve">引文与阅读依据</w:t>
      </w:r>
    </w:p>
    <w:p>
      <w:pPr>
        <w:pStyle w:val="FirstParagraph"/>
      </w:pPr>
      <w:r>
        <w:rPr>
          <w:rFonts w:hint="eastAsia"/>
        </w:rPr>
        <w:t xml:space="preserve">经文均依项目保存的</w:t>
      </w:r>
      <w:r>
        <w:t xml:space="preserve"> </w:t>
      </w:r>
      <w:r>
        <w:rPr>
          <w:rFonts w:hint="eastAsia"/>
        </w:rPr>
        <w:t xml:space="preserve">CBETA《大正藏》T19、no.</w:t>
      </w:r>
      <w:r>
        <w:t xml:space="preserve"> 945 </w:t>
      </w:r>
      <w:r>
        <w:rPr>
          <w:rFonts w:hint="eastAsia"/>
        </w:rPr>
        <w:t xml:space="preserve">文字，保留繁体；卷一可对照</w:t>
      </w:r>
      <w:r>
        <w:t xml:space="preserve"> </w:t>
      </w:r>
      <w:hyperlink r:id="rId18">
        <w:r>
          <w:rPr>
            <w:rStyle w:val="Hyperlink"/>
          </w:rPr>
          <w:t xml:space="preserve">CBETA </w:t>
        </w:r>
        <w:r>
          <w:rPr>
            <w:rStyle w:val="Hyperlink"/>
            <w:rFonts w:hint="eastAsia"/>
          </w:rPr>
          <w:t xml:space="preserve">原文</w:t>
        </w:r>
      </w:hyperlink>
      <w:r>
        <w:rPr>
          <w:rFonts w:hint="eastAsia"/>
        </w:rPr>
        <w:t xml:space="preserve">。页栏行编号用于定位，跨行引文已合并排版。注疏的物理页码指本项目所用</w:t>
      </w:r>
      <w:r>
        <w:t xml:space="preserve"> </w:t>
      </w:r>
      <w:r>
        <w:rPr>
          <w:rFonts w:hint="eastAsia"/>
        </w:rPr>
        <w:t xml:space="preserve">PDF，不同版本可能不同。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卷一，0107a04–11，开篇“将何所见”与心目所在问答。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卷一，0107a12–0107c08，第一至第三处。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卷一，0107c09–23，第四处，明暗与内对。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卷一，0107c23–0108a14，第五处。“即思惟体”引文见</w:t>
      </w:r>
      <w:r>
        <w:t xml:space="preserve"> 0107c25–26。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卷一，0108a15–0108b03，第六处。“眼色为缘”引文见该段后半。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卷一，0108b04–14，第七处。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蕅益智旭《楞严经文句》卷一，第七处注释；项目</w:t>
      </w:r>
      <w:r>
        <w:t xml:space="preserve"> PDF </w:t>
      </w:r>
      <w:r>
        <w:rPr>
          <w:rFonts w:hint="eastAsia"/>
        </w:rPr>
        <w:t xml:space="preserve">物理第49页，</w:t>
      </w:r>
      <w:hyperlink r:id="rId19">
        <w:r>
          <w:rPr>
            <w:rStyle w:val="Hyperlink"/>
            <w:rFonts w:hint="eastAsia"/>
          </w:rPr>
          <w:t xml:space="preserve">在线对照本</w:t>
        </w:r>
      </w:hyperlink>
      <w:r>
        <w:rPr>
          <w:rFonts w:hint="eastAsia"/>
        </w:rPr>
        <w:t xml:space="preserve">。上引短句整理标点，不改句意。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太虚《大佛顶首楞严经摄论》，“破处计以无在显”，</w:t>
      </w:r>
      <w:hyperlink r:id="rId20">
        <w:r>
          <w:rPr>
            <w:rStyle w:val="Hyperlink"/>
            <w:rFonts w:hint="eastAsia"/>
          </w:rPr>
          <w:t xml:space="preserve">在线文本</w:t>
        </w:r>
      </w:hyperlink>
      <w:r>
        <w:rPr>
          <w:rFonts w:hint="eastAsia"/>
        </w:rPr>
        <w:t xml:space="preserve">。此处为意译概述，不冒充逐字引文。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成观法师《大佛顶首楞严经义贯》，项目</w:t>
      </w:r>
      <w:r>
        <w:t xml:space="preserve"> PDF </w:t>
      </w:r>
      <w:r>
        <w:rPr>
          <w:rFonts w:hint="eastAsia"/>
        </w:rPr>
        <w:t xml:space="preserve">物理第52页，开篇见与爱乐的注释。这里的成观法师指现代法师成觀。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憨山德清《楞严经通议》卷一，七处征心注释，</w:t>
      </w:r>
      <w:hyperlink r:id="rId21">
        <w:r>
          <w:rPr>
            <w:rStyle w:val="Hyperlink"/>
            <w:rFonts w:hint="eastAsia"/>
          </w:rPr>
          <w:t xml:space="preserve">在线文本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卷一，0109a13–14；完整语境见</w:t>
      </w:r>
      <w:r>
        <w:t xml:space="preserve"> 0109a07–15。</w:t>
      </w:r>
    </w:p>
    <w:p>
      <w:pPr>
        <w:pStyle w:val="FirstParagraph"/>
      </w:pPr>
      <w:r>
        <w:rPr>
          <w:rFonts w:hint="eastAsia"/>
          <w:b/>
          <w:bCs/>
        </w:rPr>
        <w:t xml:space="preserve">研究说明：</w:t>
      </w:r>
      <w:r>
        <w:t xml:space="preserve"> </w:t>
      </w:r>
      <w:r>
        <w:rPr>
          <w:rFonts w:hint="eastAsia"/>
        </w:rPr>
        <w:t xml:space="preserve">本文依托</w:t>
      </w:r>
      <w:r>
        <w:t xml:space="preserve"> C1—C7 </w:t>
      </w:r>
      <w:r>
        <w:rPr>
          <w:rFonts w:hint="eastAsia"/>
        </w:rPr>
        <w:t xml:space="preserve">条件证明与“能所不二”共同解释模块，两者均收入</w:t>
      </w:r>
      <w:r>
        <w:t xml:space="preserve"> </w:t>
      </w:r>
      <w:hyperlink r:id="rId22">
        <w:r>
          <w:rPr>
            <w:rStyle w:val="Hyperlink"/>
          </w:rPr>
          <w:t xml:space="preserve">v1.0 </w:t>
        </w:r>
        <w:r>
          <w:rPr>
            <w:rStyle w:val="Hyperlink"/>
            <w:rFonts w:hint="eastAsia"/>
          </w:rPr>
          <w:t xml:space="preserve">发布包</w:t>
        </w:r>
      </w:hyperlink>
      <w:r>
        <w:rPr>
          <w:rFonts w:hint="eastAsia"/>
        </w:rPr>
        <w:t xml:space="preserve">。本文使用</w:t>
      </w:r>
      <w:r>
        <w:t xml:space="preserve"> AI </w:t>
      </w:r>
      <w:r>
        <w:rPr>
          <w:rFonts w:hint="eastAsia"/>
        </w:rPr>
        <w:t xml:space="preserve">辅助整理，经作者审阅后公开，尚不代表刊物录用。本文与同项目的英文方法论文共享研究材料，但写作对象与任务不同。</w:t>
      </w:r>
    </w:p>
    <w:bookmarkEnd w:id="23"/>
    <w:bookmarkEnd w:id="24"/>
    <w:bookmarkEnd w:id="25"/>
    <w:sectPr>
      <w:footnotePr>
        <w:numRestart w:val="eachSect"/>
      </w:footnotePr>
      <w:pgSz w:w="11906" w:h="16838"/>
      <w:pgMar w:left="1020" w:right="1020" w:top="1077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 w:eastAsia="宋体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mbria" w:hAnsi="Cambria" w:eastAsia="宋体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mbria" w:hAnsi="Cambria" w:eastAsia="宋体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mbria" w:hAnsi="Cambria" w:eastAsia="宋体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hyperlink" Target="https://book.bfnn.org/books2/1066.htm" TargetMode="External"/><Relationship Id="rId18" Type="http://schemas.openxmlformats.org/officeDocument/2006/relationships/hyperlink" Target="https://cbetaonline.dila.edu.tw/zh/T0945_001" TargetMode="External"/><Relationship Id="rId22" Type="http://schemas.openxmlformats.org/officeDocument/2006/relationships/hyperlink" Target="https://github.com/1714065/surangama-formalization/releases/tag/v1.0" TargetMode="External"/><Relationship Id="rId21" Type="http://schemas.openxmlformats.org/officeDocument/2006/relationships/hyperlink" Target="https://hermit.place/zh-TW/canon/x/x12n0279/juan-01/" TargetMode="External"/><Relationship Id="rId19" Type="http://schemas.openxmlformats.org/officeDocument/2006/relationships/hyperlink" Target="https://zh.wikisource.org/zh-hant/&#26974;&#22196;&#32147;&#25991;&#21477;/&#21367;&#31532;1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book.bfnn.org/books2/1066.htm" TargetMode="External"/><Relationship Id="rId18" Type="http://schemas.openxmlformats.org/officeDocument/2006/relationships/hyperlink" Target="https://cbetaonline.dila.edu.tw/zh/T0945_001" TargetMode="External"/><Relationship Id="rId22" Type="http://schemas.openxmlformats.org/officeDocument/2006/relationships/hyperlink" Target="https://github.com/1714065/surangama-formalization/releases/tag/v1.0" TargetMode="External"/><Relationship Id="rId21" Type="http://schemas.openxmlformats.org/officeDocument/2006/relationships/hyperlink" Target="https://hermit.place/zh-TW/canon/x/x12n0279/juan-01/" TargetMode="External"/><Relationship Id="rId19" Type="http://schemas.openxmlformats.org/officeDocument/2006/relationships/hyperlink" Target="https://zh.wikisource.org/zh-hant/&#26974;&#22196;&#32147;&#25991;&#21477;/&#21367;&#31532;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七处征心究竟在破什么？</dc:title>
  <dc:creator>Jason Wu</dc:creator>
  <cp:keywords/>
  <dcterms:created xsi:type="dcterms:W3CDTF">2026-10-03T16:32:54Z</dcterms:created>
  <dcterms:modified xsi:type="dcterms:W3CDTF">2026-10-03T16:32:54Z</dcterms:modified>
  <dc:description>Public v1.0 manuscript, reviewed and authorized by the author; AI-assisted drafting. Not peer-reviewed.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