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50742" w14:textId="77777777" w:rsidR="002713BB" w:rsidRPr="002713BB" w:rsidRDefault="00000000" w:rsidP="002713BB">
      <w:pPr>
        <w:pStyle w:val="1"/>
        <w:spacing w:beforeAutospacing="0" w:afterAutospacing="0"/>
        <w:rPr>
          <w:rFonts w:asciiTheme="majorEastAsia" w:eastAsiaTheme="majorEastAsia" w:hAnsiTheme="majorEastAsia" w:cstheme="majorEastAsia" w:hint="default"/>
          <w:sz w:val="28"/>
          <w:szCs w:val="28"/>
        </w:rPr>
      </w:pPr>
      <w:bookmarkStart w:id="0" w:name="OLE_LINK2"/>
      <w:bookmarkStart w:id="1" w:name="OLE_LINK10"/>
      <w:r w:rsidRPr="002713BB">
        <w:rPr>
          <w:rFonts w:asciiTheme="majorEastAsia" w:eastAsiaTheme="majorEastAsia" w:hAnsiTheme="majorEastAsia" w:cstheme="majorEastAsia"/>
          <w:sz w:val="28"/>
          <w:szCs w:val="28"/>
        </w:rPr>
        <w:t>基于</w:t>
      </w:r>
      <w:bookmarkStart w:id="2" w:name="OLE_LINK6"/>
      <w:r w:rsidRPr="002713BB">
        <w:rPr>
          <w:rFonts w:asciiTheme="majorEastAsia" w:eastAsiaTheme="majorEastAsia" w:hAnsiTheme="majorEastAsia" w:cstheme="majorEastAsia"/>
          <w:sz w:val="28"/>
          <w:szCs w:val="28"/>
        </w:rPr>
        <w:t>时效性激励理论</w:t>
      </w:r>
      <w:bookmarkEnd w:id="2"/>
      <w:r w:rsidRPr="002713BB">
        <w:rPr>
          <w:rFonts w:asciiTheme="majorEastAsia" w:eastAsiaTheme="majorEastAsia" w:hAnsiTheme="majorEastAsia" w:cstheme="majorEastAsia"/>
          <w:sz w:val="28"/>
          <w:szCs w:val="28"/>
        </w:rPr>
        <w:t>的护理干预在</w:t>
      </w:r>
      <w:bookmarkStart w:id="3" w:name="OLE_LINK12"/>
      <w:r w:rsidRPr="002713BB">
        <w:rPr>
          <w:rFonts w:asciiTheme="majorEastAsia" w:eastAsiaTheme="majorEastAsia" w:hAnsiTheme="majorEastAsia" w:cstheme="majorEastAsia"/>
          <w:sz w:val="28"/>
          <w:szCs w:val="28"/>
        </w:rPr>
        <w:t>经尿道前列腺热蒸汽消融术</w:t>
      </w:r>
      <w:bookmarkEnd w:id="3"/>
      <w:r w:rsidRPr="002713BB">
        <w:rPr>
          <w:rFonts w:asciiTheme="majorEastAsia" w:eastAsiaTheme="majorEastAsia" w:hAnsiTheme="majorEastAsia" w:cstheme="majorEastAsia"/>
          <w:sz w:val="28"/>
          <w:szCs w:val="28"/>
        </w:rPr>
        <w:t>患者的应用效果研究</w:t>
      </w:r>
    </w:p>
    <w:bookmarkEnd w:id="1"/>
    <w:p w14:paraId="2F5E2D51" w14:textId="6CBE6B3D" w:rsidR="0029401A" w:rsidRPr="002713BB" w:rsidRDefault="00000000" w:rsidP="002713BB">
      <w:pPr>
        <w:pStyle w:val="1"/>
        <w:spacing w:beforeAutospacing="0" w:afterAutospacing="0"/>
        <w:rPr>
          <w:rFonts w:asciiTheme="majorEastAsia" w:eastAsiaTheme="majorEastAsia" w:hAnsiTheme="majorEastAsia" w:cstheme="majorEastAsia"/>
          <w:sz w:val="28"/>
          <w:szCs w:val="28"/>
        </w:rPr>
      </w:pPr>
      <w:r w:rsidRPr="002713BB">
        <w:rPr>
          <w:rFonts w:cs="宋体"/>
          <w:sz w:val="28"/>
          <w:szCs w:val="52"/>
        </w:rPr>
        <w:t>汪妍</w:t>
      </w:r>
      <w:r w:rsidRPr="002713BB">
        <w:rPr>
          <w:rFonts w:cs="宋体"/>
          <w:sz w:val="28"/>
          <w:szCs w:val="52"/>
          <w:vertAlign w:val="superscript"/>
        </w:rPr>
        <w:t>1</w:t>
      </w:r>
      <w:r w:rsidRPr="002713BB">
        <w:rPr>
          <w:rFonts w:cs="宋体"/>
          <w:sz w:val="28"/>
          <w:szCs w:val="52"/>
        </w:rPr>
        <w:t xml:space="preserve"> 王芸</w:t>
      </w:r>
      <w:r w:rsidRPr="002713BB">
        <w:rPr>
          <w:rFonts w:cs="宋体"/>
          <w:sz w:val="28"/>
          <w:szCs w:val="52"/>
          <w:vertAlign w:val="superscript"/>
        </w:rPr>
        <w:t xml:space="preserve">※1 </w:t>
      </w:r>
      <w:r w:rsidRPr="002713BB">
        <w:rPr>
          <w:rFonts w:cs="宋体"/>
          <w:sz w:val="28"/>
          <w:szCs w:val="52"/>
        </w:rPr>
        <w:t xml:space="preserve">  李萍</w:t>
      </w:r>
      <w:r w:rsidRPr="002713BB">
        <w:rPr>
          <w:rFonts w:cs="宋体"/>
          <w:sz w:val="28"/>
          <w:szCs w:val="52"/>
          <w:vertAlign w:val="superscript"/>
        </w:rPr>
        <w:t xml:space="preserve">1  </w:t>
      </w:r>
    </w:p>
    <w:p w14:paraId="2C7D7948" w14:textId="77777777" w:rsidR="0029401A" w:rsidRDefault="00000000">
      <w:pPr>
        <w:spacing w:line="360" w:lineRule="auto"/>
        <w:rPr>
          <w:rFonts w:ascii="宋体" w:eastAsia="宋体" w:hAnsi="宋体" w:cs="宋体" w:hint="eastAsia"/>
          <w:sz w:val="24"/>
        </w:rPr>
      </w:pPr>
      <w:r>
        <w:rPr>
          <w:rFonts w:ascii="宋体" w:eastAsia="宋体" w:hAnsi="宋体" w:cs="宋体" w:hint="eastAsia"/>
          <w:sz w:val="24"/>
        </w:rPr>
        <w:t xml:space="preserve">通讯作者：王芸 </w:t>
      </w:r>
      <w:hyperlink r:id="rId5" w:history="1">
        <w:r>
          <w:rPr>
            <w:rStyle w:val="ab"/>
            <w:rFonts w:ascii="宋体" w:eastAsia="宋体" w:hAnsi="宋体" w:cs="宋体" w:hint="eastAsia"/>
            <w:sz w:val="24"/>
          </w:rPr>
          <w:t>865298687@qq.com</w:t>
        </w:r>
      </w:hyperlink>
      <w:r>
        <w:rPr>
          <w:rFonts w:ascii="宋体" w:eastAsia="宋体" w:hAnsi="宋体" w:cs="宋体" w:hint="eastAsia"/>
          <w:sz w:val="24"/>
        </w:rPr>
        <w:t xml:space="preserve">   17705170615</w:t>
      </w:r>
    </w:p>
    <w:p w14:paraId="6B2D3FC7" w14:textId="77777777" w:rsidR="0029401A" w:rsidRDefault="00000000">
      <w:pPr>
        <w:spacing w:line="360" w:lineRule="auto"/>
        <w:rPr>
          <w:rFonts w:ascii="宋体" w:eastAsia="宋体" w:hAnsi="宋体" w:cs="宋体" w:hint="eastAsia"/>
          <w:sz w:val="24"/>
        </w:rPr>
      </w:pPr>
      <w:r>
        <w:rPr>
          <w:rFonts w:ascii="宋体" w:eastAsia="宋体" w:hAnsi="宋体" w:cs="宋体" w:hint="eastAsia"/>
          <w:sz w:val="24"/>
        </w:rPr>
        <w:t>基金项目：南京鼓楼医院 南京大学中国医院改革发展研究院项目（编号：NDYGN2024085）；南京鼓楼医院护理科研项目（编号：2025-H477）</w:t>
      </w:r>
    </w:p>
    <w:bookmarkEnd w:id="0"/>
    <w:p w14:paraId="340F45CF" w14:textId="77777777" w:rsidR="0029401A" w:rsidRDefault="00000000">
      <w:pPr>
        <w:pStyle w:val="HTML"/>
        <w:widowControl/>
        <w:wordWrap w:val="0"/>
        <w:spacing w:line="360" w:lineRule="auto"/>
        <w:jc w:val="both"/>
        <w:rPr>
          <w:rFonts w:ascii="Times New Roman" w:hAnsi="Times New Roman" w:hint="default"/>
        </w:rPr>
      </w:pPr>
      <w:r>
        <w:rPr>
          <w:rFonts w:ascii="Times New Roman" w:hAnsi="Times New Roman" w:hint="default"/>
          <w:b/>
          <w:bCs/>
          <w:color w:val="000000"/>
        </w:rPr>
        <w:t>摘要</w:t>
      </w:r>
      <w:r>
        <w:rPr>
          <w:rFonts w:ascii="Times New Roman" w:hAnsi="Times New Roman" w:hint="default"/>
          <w:b/>
          <w:bCs/>
          <w:color w:val="000000"/>
        </w:rPr>
        <w:t xml:space="preserve"> </w:t>
      </w:r>
      <w:r>
        <w:rPr>
          <w:rFonts w:ascii="Times New Roman" w:hAnsi="Times New Roman" w:hint="default"/>
          <w:b/>
          <w:bCs/>
          <w:color w:val="000000"/>
        </w:rPr>
        <w:t>目的：</w:t>
      </w:r>
      <w:r>
        <w:rPr>
          <w:rFonts w:ascii="Times New Roman" w:hAnsi="Times New Roman" w:hint="default"/>
        </w:rPr>
        <w:t>基于时效性激励理论实施护理干预，探讨其在经尿道前列腺热蒸汽消融术患者中的应用效果。</w:t>
      </w:r>
      <w:r>
        <w:rPr>
          <w:rFonts w:ascii="Times New Roman" w:hAnsi="Times New Roman" w:hint="default"/>
          <w:b/>
          <w:bCs/>
        </w:rPr>
        <w:t>方法：</w:t>
      </w:r>
      <w:r>
        <w:rPr>
          <w:rFonts w:ascii="Times New Roman" w:hAnsi="Times New Roman" w:hint="default"/>
        </w:rPr>
        <w:t>选取南京市某三甲医院</w:t>
      </w:r>
      <w:r>
        <w:rPr>
          <w:rFonts w:ascii="Times New Roman" w:hAnsi="Times New Roman" w:hint="default"/>
        </w:rPr>
        <w:t>100</w:t>
      </w:r>
      <w:r>
        <w:rPr>
          <w:rFonts w:ascii="Times New Roman" w:hAnsi="Times New Roman" w:hint="default"/>
        </w:rPr>
        <w:t>例经尿道前列腺热蒸汽消融术患者为研究对象，采用随机数字表法分为</w:t>
      </w:r>
      <w:r>
        <w:rPr>
          <w:rFonts w:ascii="Times New Roman" w:hAnsi="Times New Roman"/>
        </w:rPr>
        <w:t>观察组</w:t>
      </w:r>
      <w:r>
        <w:rPr>
          <w:rFonts w:ascii="Times New Roman" w:hAnsi="Times New Roman" w:hint="default"/>
        </w:rPr>
        <w:t>和对照组各</w:t>
      </w:r>
      <w:r>
        <w:rPr>
          <w:rFonts w:ascii="Times New Roman" w:hAnsi="Times New Roman" w:hint="default"/>
        </w:rPr>
        <w:t>50</w:t>
      </w:r>
      <w:r>
        <w:rPr>
          <w:rFonts w:ascii="Times New Roman" w:hAnsi="Times New Roman" w:hint="default"/>
        </w:rPr>
        <w:t>例。对照组实施常规护理，</w:t>
      </w:r>
      <w:r>
        <w:rPr>
          <w:rFonts w:ascii="Times New Roman" w:hAnsi="Times New Roman"/>
        </w:rPr>
        <w:t>观察</w:t>
      </w:r>
      <w:r>
        <w:rPr>
          <w:rFonts w:ascii="Times New Roman" w:hAnsi="Times New Roman" w:hint="default"/>
        </w:rPr>
        <w:t>组在常规护理基础上采用时效性激励</w:t>
      </w:r>
      <w:r>
        <w:rPr>
          <w:rFonts w:ascii="Times New Roman" w:hAnsi="Times New Roman"/>
        </w:rPr>
        <w:t>理论的</w:t>
      </w:r>
      <w:r>
        <w:rPr>
          <w:rFonts w:ascii="Times New Roman" w:hAnsi="Times New Roman" w:hint="default"/>
        </w:rPr>
        <w:t>护理干预。比较两组患者国际前列腺症状评分（</w:t>
      </w:r>
      <w:r>
        <w:rPr>
          <w:rFonts w:ascii="Times New Roman" w:hAnsi="Times New Roman" w:hint="default"/>
        </w:rPr>
        <w:t>IPSS</w:t>
      </w:r>
      <w:r>
        <w:rPr>
          <w:rFonts w:ascii="Times New Roman" w:hAnsi="Times New Roman" w:hint="default"/>
        </w:rPr>
        <w:t>）、</w:t>
      </w:r>
      <w:r>
        <w:rPr>
          <w:rFonts w:ascii="Times New Roman" w:hAnsi="Times New Roman"/>
        </w:rPr>
        <w:t>控尿能力、视觉模拟评分（</w:t>
      </w:r>
      <w:r>
        <w:rPr>
          <w:rFonts w:ascii="Times New Roman" w:hAnsi="Times New Roman"/>
        </w:rPr>
        <w:t>VAS</w:t>
      </w:r>
      <w:r>
        <w:rPr>
          <w:rFonts w:ascii="Times New Roman" w:hAnsi="Times New Roman"/>
        </w:rPr>
        <w:t>）、焦虑自评量表</w:t>
      </w:r>
      <w:r>
        <w:rPr>
          <w:rFonts w:ascii="Times New Roman" w:hAnsi="Times New Roman" w:hint="default"/>
        </w:rPr>
        <w:t>评分（</w:t>
      </w:r>
      <w:r>
        <w:rPr>
          <w:rFonts w:ascii="Times New Roman" w:hAnsi="Times New Roman"/>
        </w:rPr>
        <w:t>SAS</w:t>
      </w:r>
      <w:r>
        <w:rPr>
          <w:rFonts w:ascii="Times New Roman" w:hAnsi="Times New Roman" w:hint="default"/>
        </w:rPr>
        <w:t>）、</w:t>
      </w:r>
      <w:r>
        <w:rPr>
          <w:rFonts w:ascii="Times New Roman" w:hAnsi="Times New Roman"/>
        </w:rPr>
        <w:t>抑郁自评量表评分</w:t>
      </w:r>
      <w:r>
        <w:rPr>
          <w:rFonts w:ascii="Times New Roman" w:hAnsi="Times New Roman"/>
        </w:rPr>
        <w:t>(SDS)</w:t>
      </w:r>
      <w:r>
        <w:rPr>
          <w:rFonts w:ascii="Times New Roman" w:hAnsi="Times New Roman"/>
        </w:rPr>
        <w:t>、</w:t>
      </w:r>
      <w:r>
        <w:rPr>
          <w:rFonts w:ascii="Times New Roman" w:hAnsi="Times New Roman" w:hint="default"/>
        </w:rPr>
        <w:t>治疗依从性及护理满意度</w:t>
      </w:r>
      <w:r>
        <w:rPr>
          <w:rFonts w:ascii="Times New Roman" w:hAnsi="Times New Roman"/>
        </w:rPr>
        <w:t>。</w:t>
      </w:r>
      <w:r>
        <w:rPr>
          <w:rFonts w:ascii="Times New Roman" w:hAnsi="Times New Roman" w:hint="default"/>
          <w:b/>
          <w:bCs/>
        </w:rPr>
        <w:t>结果：</w:t>
      </w:r>
      <w:r>
        <w:rPr>
          <w:rFonts w:ascii="Times New Roman" w:hAnsi="Times New Roman" w:hint="default"/>
        </w:rPr>
        <w:t>术前两组患者</w:t>
      </w:r>
      <w:r>
        <w:rPr>
          <w:rFonts w:ascii="Times New Roman" w:hAnsi="Times New Roman" w:hint="default"/>
        </w:rPr>
        <w:t>IPSS</w:t>
      </w:r>
      <w:r>
        <w:rPr>
          <w:rFonts w:ascii="Times New Roman" w:hAnsi="Times New Roman"/>
        </w:rPr>
        <w:t>评分、控尿能力、负性心态评分（</w:t>
      </w:r>
      <w:r>
        <w:rPr>
          <w:rFonts w:ascii="Times New Roman" w:hAnsi="Times New Roman"/>
        </w:rPr>
        <w:t>SAS</w:t>
      </w:r>
      <w:r>
        <w:rPr>
          <w:rFonts w:ascii="Times New Roman" w:hAnsi="Times New Roman"/>
        </w:rPr>
        <w:t>、</w:t>
      </w:r>
      <w:r>
        <w:rPr>
          <w:rFonts w:ascii="Times New Roman" w:hAnsi="Times New Roman"/>
        </w:rPr>
        <w:t>SDS</w:t>
      </w:r>
      <w:r>
        <w:rPr>
          <w:rFonts w:ascii="Times New Roman" w:hAnsi="Times New Roman"/>
        </w:rPr>
        <w:t>）、</w:t>
      </w:r>
      <w:r>
        <w:rPr>
          <w:rFonts w:ascii="Times New Roman" w:hAnsi="Times New Roman" w:hint="default"/>
        </w:rPr>
        <w:t>及</w:t>
      </w:r>
      <w:r>
        <w:rPr>
          <w:rFonts w:ascii="Times New Roman" w:hAnsi="Times New Roman"/>
        </w:rPr>
        <w:t>VAS</w:t>
      </w:r>
      <w:r>
        <w:rPr>
          <w:rFonts w:ascii="Times New Roman" w:hAnsi="Times New Roman" w:hint="default"/>
        </w:rPr>
        <w:t>评分比较差异均无统计学意义</w:t>
      </w:r>
      <w:r>
        <w:rPr>
          <w:rFonts w:ascii="Times New Roman" w:hAnsi="Times New Roman"/>
        </w:rPr>
        <w:t>（</w:t>
      </w:r>
      <w:r>
        <w:rPr>
          <w:rFonts w:ascii="Times New Roman" w:hAnsi="Times New Roman" w:hint="default"/>
          <w:i/>
          <w:iCs/>
        </w:rPr>
        <w:t>P</w:t>
      </w:r>
      <w:r>
        <w:rPr>
          <w:rFonts w:ascii="Times New Roman" w:hAnsi="Times New Roman" w:hint="default"/>
        </w:rPr>
        <w:t>＞</w:t>
      </w:r>
      <w:r>
        <w:rPr>
          <w:rFonts w:ascii="Times New Roman" w:hAnsi="Times New Roman" w:hint="default"/>
        </w:rPr>
        <w:t>0.05</w:t>
      </w:r>
      <w:r>
        <w:rPr>
          <w:rFonts w:ascii="Times New Roman" w:hAnsi="Times New Roman"/>
        </w:rPr>
        <w:t>）</w:t>
      </w:r>
      <w:r>
        <w:rPr>
          <w:rFonts w:ascii="Times New Roman" w:hAnsi="Times New Roman" w:hint="default"/>
        </w:rPr>
        <w:t>。术后</w:t>
      </w:r>
      <w:r>
        <w:rPr>
          <w:rFonts w:ascii="Times New Roman" w:hAnsi="Times New Roman" w:hint="default"/>
        </w:rPr>
        <w:t>1</w:t>
      </w:r>
      <w:r>
        <w:rPr>
          <w:rFonts w:ascii="Times New Roman" w:hAnsi="Times New Roman" w:hint="default"/>
        </w:rPr>
        <w:t>个月，</w:t>
      </w:r>
      <w:r>
        <w:rPr>
          <w:rFonts w:ascii="Times New Roman" w:hAnsi="Times New Roman"/>
        </w:rPr>
        <w:t>观察组</w:t>
      </w:r>
      <w:r>
        <w:rPr>
          <w:rFonts w:ascii="Times New Roman" w:hAnsi="Times New Roman" w:hint="default"/>
        </w:rPr>
        <w:t>IPSS</w:t>
      </w:r>
      <w:r>
        <w:rPr>
          <w:rFonts w:ascii="Times New Roman" w:hAnsi="Times New Roman" w:hint="default"/>
        </w:rPr>
        <w:t>评分和</w:t>
      </w:r>
      <w:r>
        <w:rPr>
          <w:rFonts w:ascii="Times New Roman" w:hAnsi="Times New Roman"/>
        </w:rPr>
        <w:t>SAS</w:t>
      </w:r>
      <w:r>
        <w:rPr>
          <w:rFonts w:ascii="Times New Roman" w:hAnsi="Times New Roman"/>
        </w:rPr>
        <w:t>、</w:t>
      </w:r>
      <w:r>
        <w:rPr>
          <w:rFonts w:ascii="Times New Roman" w:hAnsi="Times New Roman"/>
        </w:rPr>
        <w:t>SDS</w:t>
      </w:r>
      <w:r>
        <w:rPr>
          <w:rFonts w:ascii="Times New Roman" w:hAnsi="Times New Roman" w:hint="default"/>
        </w:rPr>
        <w:t>评分显著低于对照组</w:t>
      </w:r>
      <w:r>
        <w:rPr>
          <w:rFonts w:ascii="Times New Roman" w:hAnsi="Times New Roman"/>
        </w:rPr>
        <w:t>（</w:t>
      </w:r>
      <w:r>
        <w:rPr>
          <w:rFonts w:ascii="Times New Roman" w:hAnsi="Times New Roman" w:hint="default"/>
          <w:i/>
          <w:iCs/>
        </w:rPr>
        <w:t>P</w:t>
      </w:r>
      <w:r>
        <w:rPr>
          <w:rFonts w:ascii="Times New Roman" w:hAnsi="Times New Roman" w:hint="default"/>
        </w:rPr>
        <w:t>＜</w:t>
      </w:r>
      <w:r>
        <w:rPr>
          <w:rFonts w:ascii="Times New Roman" w:hAnsi="Times New Roman" w:hint="default"/>
        </w:rPr>
        <w:t>0.001</w:t>
      </w:r>
      <w:r>
        <w:rPr>
          <w:rFonts w:ascii="Times New Roman" w:hAnsi="Times New Roman"/>
        </w:rPr>
        <w:t>）</w:t>
      </w:r>
      <w:r>
        <w:rPr>
          <w:rFonts w:ascii="Times New Roman" w:hAnsi="Times New Roman" w:hint="default"/>
        </w:rPr>
        <w:t>，</w:t>
      </w:r>
      <w:r>
        <w:rPr>
          <w:rFonts w:ascii="Times New Roman" w:hAnsi="Times New Roman"/>
        </w:rPr>
        <w:t>控尿能力、</w:t>
      </w:r>
      <w:r>
        <w:rPr>
          <w:rFonts w:ascii="Times New Roman" w:hAnsi="Times New Roman" w:hint="default"/>
        </w:rPr>
        <w:t>护理满意度和治疗依从性亦显著提</w:t>
      </w:r>
      <w:r>
        <w:rPr>
          <w:rFonts w:ascii="Times New Roman" w:hAnsi="Times New Roman"/>
        </w:rPr>
        <w:t>升</w:t>
      </w:r>
      <w:r>
        <w:rPr>
          <w:rFonts w:ascii="Times New Roman" w:hAnsi="Times New Roman" w:hint="default"/>
        </w:rPr>
        <w:t>（</w:t>
      </w:r>
      <w:r>
        <w:rPr>
          <w:rFonts w:ascii="Times New Roman" w:hAnsi="Times New Roman" w:hint="default"/>
          <w:i/>
          <w:iCs/>
        </w:rPr>
        <w:t>P</w:t>
      </w:r>
      <w:r>
        <w:rPr>
          <w:rFonts w:ascii="Times New Roman" w:hAnsi="Times New Roman" w:hint="default"/>
        </w:rPr>
        <w:t>＜</w:t>
      </w:r>
      <w:r>
        <w:rPr>
          <w:rFonts w:ascii="Times New Roman" w:hAnsi="Times New Roman" w:hint="default"/>
        </w:rPr>
        <w:t>0.05</w:t>
      </w:r>
      <w:r>
        <w:rPr>
          <w:rFonts w:ascii="Times New Roman" w:hAnsi="Times New Roman" w:hint="default"/>
        </w:rPr>
        <w:t>）。术后观察显示，</w:t>
      </w:r>
      <w:r>
        <w:rPr>
          <w:rFonts w:ascii="Times New Roman" w:hAnsi="Times New Roman"/>
        </w:rPr>
        <w:t>观察组</w:t>
      </w:r>
      <w:r>
        <w:rPr>
          <w:rFonts w:ascii="Times New Roman" w:hAnsi="Times New Roman" w:hint="default"/>
        </w:rPr>
        <w:t>术后</w:t>
      </w:r>
      <w:r>
        <w:rPr>
          <w:rFonts w:ascii="Times New Roman" w:hAnsi="Times New Roman" w:hint="default"/>
        </w:rPr>
        <w:t>1</w:t>
      </w:r>
      <w:r>
        <w:rPr>
          <w:rFonts w:ascii="Times New Roman" w:hAnsi="Times New Roman" w:hint="default"/>
        </w:rPr>
        <w:t>日和术后</w:t>
      </w:r>
      <w:r>
        <w:rPr>
          <w:rFonts w:ascii="Times New Roman" w:hAnsi="Times New Roman" w:hint="default"/>
        </w:rPr>
        <w:t>1</w:t>
      </w:r>
      <w:r>
        <w:rPr>
          <w:rFonts w:ascii="Times New Roman" w:hAnsi="Times New Roman" w:hint="default"/>
        </w:rPr>
        <w:t>周</w:t>
      </w:r>
      <w:r>
        <w:rPr>
          <w:rFonts w:ascii="Times New Roman" w:hAnsi="Times New Roman"/>
        </w:rPr>
        <w:t>VAS</w:t>
      </w:r>
      <w:r>
        <w:rPr>
          <w:rFonts w:ascii="Times New Roman" w:hAnsi="Times New Roman" w:hint="default"/>
        </w:rPr>
        <w:t>评分均显著低于对照组（</w:t>
      </w:r>
      <w:r>
        <w:rPr>
          <w:rFonts w:ascii="Times New Roman" w:hAnsi="Times New Roman" w:hint="default"/>
          <w:i/>
          <w:iCs/>
        </w:rPr>
        <w:t>P</w:t>
      </w:r>
      <w:r>
        <w:rPr>
          <w:rFonts w:ascii="Times New Roman" w:hAnsi="Times New Roman" w:hint="default"/>
        </w:rPr>
        <w:t>＜</w:t>
      </w:r>
      <w:r>
        <w:rPr>
          <w:rFonts w:ascii="Times New Roman" w:hAnsi="Times New Roman" w:hint="default"/>
        </w:rPr>
        <w:t>0.001</w:t>
      </w:r>
      <w:r>
        <w:rPr>
          <w:rFonts w:ascii="Times New Roman" w:hAnsi="Times New Roman" w:hint="default"/>
        </w:rPr>
        <w:t>）。</w:t>
      </w:r>
      <w:r>
        <w:rPr>
          <w:rFonts w:ascii="Times New Roman" w:hAnsi="Times New Roman" w:hint="default"/>
          <w:b/>
          <w:bCs/>
        </w:rPr>
        <w:t>结论：</w:t>
      </w:r>
      <w:r>
        <w:rPr>
          <w:rFonts w:ascii="Times New Roman" w:hAnsi="Times New Roman" w:hint="default"/>
        </w:rPr>
        <w:t>基于时效性激励理论的护理干预对行经尿道前列腺热蒸汽消融术患者的前列腺症状与</w:t>
      </w:r>
      <w:r>
        <w:rPr>
          <w:rFonts w:ascii="Times New Roman" w:hAnsi="Times New Roman"/>
        </w:rPr>
        <w:t>焦虑情绪</w:t>
      </w:r>
      <w:r>
        <w:rPr>
          <w:rFonts w:ascii="Times New Roman" w:hAnsi="Times New Roman" w:hint="default"/>
        </w:rPr>
        <w:t>均产生显著</w:t>
      </w:r>
      <w:r>
        <w:rPr>
          <w:rFonts w:ascii="Times New Roman" w:hAnsi="Times New Roman"/>
        </w:rPr>
        <w:t>改善作用</w:t>
      </w:r>
      <w:r>
        <w:rPr>
          <w:rFonts w:ascii="Times New Roman" w:hAnsi="Times New Roman" w:hint="default"/>
        </w:rPr>
        <w:t>，时效性激励护理</w:t>
      </w:r>
      <w:r>
        <w:rPr>
          <w:rFonts w:ascii="Times New Roman" w:hAnsi="Times New Roman"/>
        </w:rPr>
        <w:t>在</w:t>
      </w:r>
      <w:r>
        <w:rPr>
          <w:rFonts w:ascii="Times New Roman" w:hAnsi="Times New Roman" w:hint="default"/>
        </w:rPr>
        <w:t>提升患者依从性，改善术后排尿情况及提高护理满意度</w:t>
      </w:r>
      <w:r>
        <w:rPr>
          <w:rFonts w:ascii="Times New Roman" w:hAnsi="Times New Roman"/>
        </w:rPr>
        <w:t>具有积极作用</w:t>
      </w:r>
      <w:r>
        <w:rPr>
          <w:rFonts w:ascii="Times New Roman" w:hAnsi="Times New Roman" w:hint="default"/>
        </w:rPr>
        <w:t>，值得临床护理</w:t>
      </w:r>
      <w:r>
        <w:rPr>
          <w:rFonts w:ascii="Times New Roman" w:hAnsi="Times New Roman"/>
        </w:rPr>
        <w:t>推广应用</w:t>
      </w:r>
      <w:r>
        <w:rPr>
          <w:rFonts w:ascii="Times New Roman" w:hAnsi="Times New Roman" w:hint="default"/>
        </w:rPr>
        <w:t>。</w:t>
      </w:r>
    </w:p>
    <w:p w14:paraId="2BC91250" w14:textId="77777777" w:rsidR="0029401A" w:rsidRDefault="00000000">
      <w:pPr>
        <w:spacing w:line="360" w:lineRule="auto"/>
        <w:rPr>
          <w:rFonts w:ascii="Times New Roman" w:eastAsia="宋体" w:hAnsi="Times New Roman" w:cs="Times New Roman"/>
          <w:sz w:val="24"/>
        </w:rPr>
      </w:pPr>
      <w:r>
        <w:rPr>
          <w:rFonts w:ascii="Times New Roman" w:eastAsia="宋体" w:hAnsi="Times New Roman" w:cs="Times New Roman"/>
          <w:b/>
          <w:bCs/>
          <w:sz w:val="24"/>
        </w:rPr>
        <w:t>关键词</w:t>
      </w:r>
      <w:r>
        <w:rPr>
          <w:rFonts w:ascii="Times New Roman" w:eastAsia="宋体" w:hAnsi="Times New Roman" w:cs="Times New Roman"/>
          <w:sz w:val="24"/>
        </w:rPr>
        <w:t>：时效性激励理论；前列腺增生；蒸汽消融术；护理干预</w:t>
      </w:r>
    </w:p>
    <w:p w14:paraId="73B676B9" w14:textId="77777777" w:rsidR="00542629" w:rsidRDefault="002713BB" w:rsidP="00DE2422">
      <w:pPr>
        <w:spacing w:line="360" w:lineRule="auto"/>
        <w:rPr>
          <w:rFonts w:ascii="Times New Roman" w:eastAsia="宋体" w:hAnsi="Times New Roman" w:cs="Times New Roman"/>
          <w:b/>
          <w:bCs/>
          <w:sz w:val="24"/>
        </w:rPr>
      </w:pPr>
      <w:bookmarkStart w:id="4" w:name="OLE_LINK13"/>
      <w:r w:rsidRPr="002713BB">
        <w:rPr>
          <w:rFonts w:ascii="Times New Roman" w:eastAsia="宋体" w:hAnsi="Times New Roman" w:cs="Times New Roman"/>
          <w:b/>
          <w:bCs/>
          <w:sz w:val="24"/>
        </w:rPr>
        <w:t xml:space="preserve">A Study on the Effectiveness of Nursing Interventions Based on Timeliness Incentive Theory in Patients Undergoing </w:t>
      </w:r>
      <w:r w:rsidR="00542629" w:rsidRPr="00542629">
        <w:rPr>
          <w:rFonts w:ascii="Times New Roman" w:eastAsia="宋体" w:hAnsi="Times New Roman" w:cs="Times New Roman"/>
          <w:b/>
          <w:bCs/>
          <w:sz w:val="24"/>
        </w:rPr>
        <w:t>Rezūm Water Vapor Thermal Therapy</w:t>
      </w:r>
    </w:p>
    <w:bookmarkEnd w:id="4"/>
    <w:p w14:paraId="7358913E" w14:textId="45FC1B77" w:rsidR="00DE2422" w:rsidRPr="00DE2422" w:rsidRDefault="00DE2422" w:rsidP="00DE2422">
      <w:pPr>
        <w:spacing w:line="360" w:lineRule="auto"/>
        <w:rPr>
          <w:rFonts w:ascii="Times New Roman" w:eastAsia="宋体" w:hAnsi="Times New Roman" w:cs="Times New Roman"/>
          <w:sz w:val="24"/>
        </w:rPr>
      </w:pPr>
      <w:r w:rsidRPr="00DE2422">
        <w:rPr>
          <w:rFonts w:ascii="Times New Roman" w:eastAsia="宋体" w:hAnsi="Times New Roman" w:cs="Times New Roman"/>
          <w:sz w:val="24"/>
        </w:rPr>
        <w:t>Wang Yan¹, Wang Yun※¹, Li Ping¹</w:t>
      </w:r>
    </w:p>
    <w:p w14:paraId="36C1A988" w14:textId="40148E28" w:rsidR="00DE2422" w:rsidRPr="00DE2422" w:rsidRDefault="00DE2422">
      <w:pPr>
        <w:spacing w:line="360" w:lineRule="auto"/>
        <w:rPr>
          <w:rFonts w:ascii="Times New Roman" w:eastAsia="宋体" w:hAnsi="Times New Roman" w:cs="Times New Roman" w:hint="eastAsia"/>
          <w:sz w:val="24"/>
        </w:rPr>
      </w:pPr>
      <w:r w:rsidRPr="00DE2422">
        <w:rPr>
          <w:rFonts w:ascii="Times New Roman" w:eastAsia="宋体" w:hAnsi="Times New Roman" w:cs="Times New Roman"/>
          <w:b/>
          <w:bCs/>
          <w:sz w:val="24"/>
        </w:rPr>
        <w:t>Corresponding Author:</w:t>
      </w:r>
      <w:r w:rsidRPr="00DE2422">
        <w:rPr>
          <w:rFonts w:ascii="Times New Roman" w:eastAsia="宋体" w:hAnsi="Times New Roman" w:cs="Times New Roman"/>
          <w:sz w:val="24"/>
        </w:rPr>
        <w:t> Wang Yun</w:t>
      </w:r>
    </w:p>
    <w:p w14:paraId="3EECE09F" w14:textId="0C4A2F26" w:rsidR="00DE2422" w:rsidRPr="00DE2422" w:rsidRDefault="00DE2422" w:rsidP="00DE2422">
      <w:pPr>
        <w:spacing w:line="360" w:lineRule="auto"/>
        <w:rPr>
          <w:rFonts w:ascii="Times New Roman" w:eastAsia="宋体" w:hAnsi="Times New Roman" w:cs="Times New Roman"/>
          <w:b/>
          <w:bCs/>
          <w:sz w:val="28"/>
          <w:szCs w:val="28"/>
        </w:rPr>
      </w:pPr>
      <w:r w:rsidRPr="00DE2422">
        <w:rPr>
          <w:rFonts w:ascii="Times New Roman" w:eastAsia="宋体" w:hAnsi="Times New Roman" w:cs="Times New Roman" w:hint="eastAsia"/>
          <w:b/>
          <w:bCs/>
          <w:sz w:val="28"/>
          <w:szCs w:val="28"/>
        </w:rPr>
        <w:t>Abstract</w:t>
      </w:r>
      <w:r>
        <w:rPr>
          <w:rFonts w:ascii="Times New Roman" w:eastAsia="宋体" w:hAnsi="Times New Roman" w:cs="Times New Roman" w:hint="eastAsia"/>
          <w:b/>
          <w:bCs/>
          <w:sz w:val="28"/>
          <w:szCs w:val="28"/>
        </w:rPr>
        <w:t xml:space="preserve">  </w:t>
      </w:r>
      <w:r w:rsidRPr="00DE2422">
        <w:rPr>
          <w:rFonts w:ascii="Times New Roman" w:eastAsia="宋体" w:hAnsi="Times New Roman" w:cs="Times New Roman"/>
          <w:b/>
          <w:bCs/>
          <w:sz w:val="24"/>
        </w:rPr>
        <w:t>Objective:</w:t>
      </w:r>
      <w:bookmarkStart w:id="5" w:name="OLE_LINK3"/>
      <w:r w:rsidRPr="00DE2422">
        <w:rPr>
          <w:rFonts w:ascii="Times New Roman" w:eastAsia="宋体" w:hAnsi="Times New Roman" w:cs="Times New Roman"/>
          <w:sz w:val="24"/>
        </w:rPr>
        <w:t xml:space="preserve"> To implement nursing interventions based on the </w:t>
      </w:r>
      <w:r w:rsidR="002713BB">
        <w:rPr>
          <w:rFonts w:ascii="Times New Roman" w:eastAsia="宋体" w:hAnsi="Times New Roman" w:cs="Times New Roman"/>
          <w:sz w:val="24"/>
        </w:rPr>
        <w:t>Timeliness incentive theory</w:t>
      </w:r>
      <w:r w:rsidRPr="00DE2422">
        <w:rPr>
          <w:rFonts w:ascii="Times New Roman" w:eastAsia="宋体" w:hAnsi="Times New Roman" w:cs="Times New Roman"/>
          <w:sz w:val="24"/>
        </w:rPr>
        <w:t xml:space="preserve"> and explore its application effects in patients undergoing transurethral prostate steam vaporization ablation.</w:t>
      </w:r>
      <w:r w:rsidRPr="00DE2422">
        <w:rPr>
          <w:rFonts w:ascii="Times New Roman" w:eastAsia="宋体" w:hAnsi="Times New Roman" w:cs="Times New Roman"/>
          <w:sz w:val="24"/>
        </w:rPr>
        <w:br/>
      </w:r>
      <w:bookmarkEnd w:id="5"/>
      <w:r w:rsidRPr="00DE2422">
        <w:rPr>
          <w:rFonts w:ascii="Times New Roman" w:eastAsia="宋体" w:hAnsi="Times New Roman" w:cs="Times New Roman"/>
          <w:b/>
          <w:bCs/>
          <w:sz w:val="24"/>
        </w:rPr>
        <w:lastRenderedPageBreak/>
        <w:t>Methods:</w:t>
      </w:r>
      <w:r w:rsidRPr="00DE2422">
        <w:rPr>
          <w:rFonts w:ascii="Times New Roman" w:eastAsia="宋体" w:hAnsi="Times New Roman" w:cs="Times New Roman"/>
          <w:sz w:val="24"/>
        </w:rPr>
        <w:t xml:space="preserve"> A total of 100 patients who underwent transurethral prostate steam vaporization ablation at a tertiary hospital in Nanjing were selected as the study subjects. </w:t>
      </w:r>
      <w:bookmarkStart w:id="6" w:name="OLE_LINK4"/>
      <w:r w:rsidRPr="00DE2422">
        <w:rPr>
          <w:rFonts w:ascii="Times New Roman" w:eastAsia="宋体" w:hAnsi="Times New Roman" w:cs="Times New Roman"/>
          <w:sz w:val="24"/>
        </w:rPr>
        <w:t xml:space="preserve">Using a random-number table, they were randomly assigned to either an observation or a control group, each comprising 50 patients. </w:t>
      </w:r>
      <w:bookmarkEnd w:id="6"/>
      <w:r w:rsidRPr="00DE2422">
        <w:rPr>
          <w:rFonts w:ascii="Times New Roman" w:eastAsia="宋体" w:hAnsi="Times New Roman" w:cs="Times New Roman"/>
          <w:sz w:val="24"/>
        </w:rPr>
        <w:t xml:space="preserve">The control group received routine nursing care, while the observation group received additional nursing interventions based on the </w:t>
      </w:r>
      <w:r w:rsidR="002713BB">
        <w:rPr>
          <w:rFonts w:ascii="Times New Roman" w:eastAsia="宋体" w:hAnsi="Times New Roman" w:cs="Times New Roman"/>
          <w:sz w:val="24"/>
        </w:rPr>
        <w:t>Timeliness incentive theory</w:t>
      </w:r>
      <w:r w:rsidRPr="00DE2422">
        <w:rPr>
          <w:rFonts w:ascii="Times New Roman" w:eastAsia="宋体" w:hAnsi="Times New Roman" w:cs="Times New Roman"/>
          <w:sz w:val="24"/>
        </w:rPr>
        <w:t>. The two groups were compared in terms of International Prostate Symptom Score (IPSS), urinary continence, Visual Analog Scale (VAS) score, Self-Rating Anxiety Scale (SAS) score, Self-Rating Depression Scale (SDS) score, treatment compliance, and nursing satisfaction.</w:t>
      </w:r>
      <w:r w:rsidRPr="00DE2422">
        <w:rPr>
          <w:rFonts w:ascii="Times New Roman" w:eastAsia="宋体" w:hAnsi="Times New Roman" w:cs="Times New Roman"/>
          <w:sz w:val="24"/>
        </w:rPr>
        <w:br/>
      </w:r>
      <w:r w:rsidRPr="00DE2422">
        <w:rPr>
          <w:rFonts w:ascii="Times New Roman" w:eastAsia="宋体" w:hAnsi="Times New Roman" w:cs="Times New Roman"/>
          <w:b/>
          <w:bCs/>
          <w:sz w:val="24"/>
        </w:rPr>
        <w:t>Results:</w:t>
      </w:r>
      <w:r w:rsidRPr="00DE2422">
        <w:rPr>
          <w:rFonts w:ascii="Times New Roman" w:eastAsia="宋体" w:hAnsi="Times New Roman" w:cs="Times New Roman"/>
          <w:sz w:val="24"/>
        </w:rPr>
        <w:t> Preoperatively, there were no statistically significant differences between the two groups in IPSS score, urinary continence, negative psychological scores (SAS, SDS), or VAS score (P &gt; 0.05). At 1 month postoperatively, the observation group showed significantly lower IPSS, SAS, and SDS scores compared to the control group (P &lt; 0.001), along with significantly improved urinary continence, nursing satisfaction, and treatment compliance (P &lt; 0.05). Postoperative observations revealed that the observation group had significantly lower VAS scores at both 1 day and 1 week postoperatively compared to the control group (P &lt; 0.001).</w:t>
      </w:r>
      <w:r w:rsidRPr="00DE2422">
        <w:rPr>
          <w:rFonts w:ascii="Times New Roman" w:eastAsia="宋体" w:hAnsi="Times New Roman" w:cs="Times New Roman"/>
          <w:sz w:val="24"/>
        </w:rPr>
        <w:br/>
      </w:r>
      <w:r w:rsidRPr="00DE2422">
        <w:rPr>
          <w:rFonts w:ascii="Times New Roman" w:eastAsia="宋体" w:hAnsi="Times New Roman" w:cs="Times New Roman"/>
          <w:b/>
          <w:bCs/>
          <w:sz w:val="24"/>
        </w:rPr>
        <w:t>Conclusion:</w:t>
      </w:r>
      <w:r w:rsidRPr="00DE2422">
        <w:rPr>
          <w:rFonts w:ascii="Times New Roman" w:eastAsia="宋体" w:hAnsi="Times New Roman" w:cs="Times New Roman"/>
          <w:sz w:val="24"/>
        </w:rPr>
        <w:t xml:space="preserve"> Nursing interventions based on the </w:t>
      </w:r>
      <w:r w:rsidR="002713BB">
        <w:rPr>
          <w:rFonts w:ascii="Times New Roman" w:eastAsia="宋体" w:hAnsi="Times New Roman" w:cs="Times New Roman"/>
          <w:sz w:val="24"/>
        </w:rPr>
        <w:t>Timeliness incentive theory</w:t>
      </w:r>
      <w:r w:rsidRPr="00DE2422">
        <w:rPr>
          <w:rFonts w:ascii="Times New Roman" w:eastAsia="宋体" w:hAnsi="Times New Roman" w:cs="Times New Roman"/>
          <w:sz w:val="24"/>
        </w:rPr>
        <w:t xml:space="preserve"> significantly improved prostate symptoms and anxiety in patients undergoing transurethral prostate steam vaporization ablation. Timeliness motivation nursing played a positive role in enhancing patient compliance, improving postoperative urinary function, and increasing nursing satisfaction, making it worthy of clinical application and promotion.</w:t>
      </w:r>
    </w:p>
    <w:p w14:paraId="4BDCA373" w14:textId="69DD0CC9" w:rsidR="00FA4A31" w:rsidRDefault="00DE2422">
      <w:pPr>
        <w:spacing w:line="360" w:lineRule="auto"/>
        <w:rPr>
          <w:rFonts w:ascii="Times New Roman" w:eastAsia="宋体" w:hAnsi="Times New Roman" w:cs="Times New Roman" w:hint="eastAsia"/>
          <w:sz w:val="24"/>
        </w:rPr>
      </w:pPr>
      <w:r w:rsidRPr="00DE2422">
        <w:rPr>
          <w:rFonts w:ascii="Times New Roman" w:eastAsia="宋体" w:hAnsi="Times New Roman" w:cs="Times New Roman"/>
          <w:b/>
          <w:bCs/>
          <w:sz w:val="24"/>
        </w:rPr>
        <w:t>Keywords:</w:t>
      </w:r>
      <w:r w:rsidRPr="00DE2422">
        <w:rPr>
          <w:rFonts w:ascii="Times New Roman" w:eastAsia="宋体" w:hAnsi="Times New Roman" w:cs="Times New Roman"/>
          <w:sz w:val="24"/>
        </w:rPr>
        <w:t> </w:t>
      </w:r>
      <w:r w:rsidR="002713BB">
        <w:rPr>
          <w:rFonts w:ascii="Times New Roman" w:eastAsia="宋体" w:hAnsi="Times New Roman" w:cs="Times New Roman" w:hint="eastAsia"/>
          <w:sz w:val="24"/>
        </w:rPr>
        <w:t>t</w:t>
      </w:r>
      <w:r w:rsidR="002713BB">
        <w:rPr>
          <w:rFonts w:ascii="Times New Roman" w:eastAsia="宋体" w:hAnsi="Times New Roman" w:cs="Times New Roman"/>
          <w:sz w:val="24"/>
        </w:rPr>
        <w:t>imeliness incentive theory</w:t>
      </w:r>
      <w:r w:rsidRPr="00DE2422">
        <w:rPr>
          <w:rFonts w:ascii="Times New Roman" w:eastAsia="宋体" w:hAnsi="Times New Roman" w:cs="Times New Roman"/>
          <w:sz w:val="24"/>
        </w:rPr>
        <w:t>; benign prostatic hyperplasia; steam vaporization ablation; nursing intervention</w:t>
      </w:r>
    </w:p>
    <w:p w14:paraId="5A3CCE24" w14:textId="77777777" w:rsidR="0029401A" w:rsidRDefault="00000000">
      <w:pPr>
        <w:spacing w:line="360" w:lineRule="auto"/>
        <w:ind w:firstLineChars="200" w:firstLine="480"/>
        <w:rPr>
          <w:rFonts w:ascii="Times New Roman" w:eastAsia="宋体" w:hAnsi="Times New Roman" w:cs="Times New Roman"/>
          <w:kern w:val="20"/>
          <w:sz w:val="24"/>
        </w:rPr>
      </w:pPr>
      <w:r>
        <w:rPr>
          <w:rFonts w:ascii="Times New Roman" w:eastAsia="宋体" w:hAnsi="Times New Roman" w:cs="Times New Roman"/>
          <w:kern w:val="20"/>
          <w:sz w:val="24"/>
        </w:rPr>
        <w:t>良性前列腺增生（</w:t>
      </w:r>
      <w:r>
        <w:rPr>
          <w:rFonts w:ascii="Times New Roman" w:eastAsia="宋体" w:hAnsi="Times New Roman" w:cs="Times New Roman" w:hint="eastAsia"/>
          <w:kern w:val="20"/>
          <w:sz w:val="24"/>
        </w:rPr>
        <w:t>B</w:t>
      </w:r>
      <w:r>
        <w:rPr>
          <w:rFonts w:ascii="Times New Roman" w:eastAsia="宋体" w:hAnsi="Times New Roman" w:cs="Times New Roman"/>
          <w:kern w:val="20"/>
          <w:sz w:val="24"/>
        </w:rPr>
        <w:t xml:space="preserve">enign </w:t>
      </w:r>
      <w:r>
        <w:rPr>
          <w:rFonts w:ascii="Times New Roman" w:eastAsia="宋体" w:hAnsi="Times New Roman" w:cs="Times New Roman" w:hint="eastAsia"/>
          <w:kern w:val="20"/>
          <w:sz w:val="24"/>
        </w:rPr>
        <w:t>P</w:t>
      </w:r>
      <w:r>
        <w:rPr>
          <w:rFonts w:ascii="Times New Roman" w:eastAsia="宋体" w:hAnsi="Times New Roman" w:cs="Times New Roman"/>
          <w:kern w:val="20"/>
          <w:sz w:val="24"/>
        </w:rPr>
        <w:t xml:space="preserve">rostatic </w:t>
      </w:r>
      <w:r>
        <w:rPr>
          <w:rFonts w:ascii="Times New Roman" w:eastAsia="宋体" w:hAnsi="Times New Roman" w:cs="Times New Roman" w:hint="eastAsia"/>
          <w:kern w:val="20"/>
          <w:sz w:val="24"/>
        </w:rPr>
        <w:t>H</w:t>
      </w:r>
      <w:r>
        <w:rPr>
          <w:rFonts w:ascii="Times New Roman" w:eastAsia="宋体" w:hAnsi="Times New Roman" w:cs="Times New Roman"/>
          <w:kern w:val="20"/>
          <w:sz w:val="24"/>
        </w:rPr>
        <w:t>yperplasia,</w:t>
      </w:r>
      <w:r>
        <w:rPr>
          <w:rFonts w:ascii="Times New Roman" w:eastAsia="宋体" w:hAnsi="Times New Roman" w:cs="Times New Roman" w:hint="eastAsia"/>
          <w:kern w:val="20"/>
          <w:sz w:val="24"/>
        </w:rPr>
        <w:t xml:space="preserve"> </w:t>
      </w:r>
      <w:r>
        <w:rPr>
          <w:rFonts w:ascii="Times New Roman" w:eastAsia="宋体" w:hAnsi="Times New Roman" w:cs="Times New Roman"/>
          <w:kern w:val="20"/>
          <w:sz w:val="24"/>
        </w:rPr>
        <w:t>BPH</w:t>
      </w:r>
      <w:r>
        <w:rPr>
          <w:rFonts w:ascii="Times New Roman" w:eastAsia="宋体" w:hAnsi="Times New Roman" w:cs="Times New Roman"/>
          <w:kern w:val="20"/>
          <w:sz w:val="24"/>
        </w:rPr>
        <w:t>）是前列腺间质和腺体成分异常增生导致的结构改变，是老年男性最常见的疾病之一，其导致的下尿路症状严重影响生活，随着中国人口老龄化日益严重，此病种患病率亦呈逐年增高的趋势</w:t>
      </w:r>
      <w:r>
        <w:rPr>
          <w:rFonts w:ascii="Times New Roman" w:eastAsia="宋体" w:hAnsi="Times New Roman" w:cs="Times New Roman"/>
          <w:sz w:val="24"/>
          <w:vertAlign w:val="superscript"/>
        </w:rPr>
        <w:t>[1]</w:t>
      </w:r>
      <w:r>
        <w:rPr>
          <w:rFonts w:ascii="Times New Roman" w:eastAsia="宋体" w:hAnsi="Times New Roman" w:cs="Times New Roman"/>
          <w:kern w:val="20"/>
          <w:sz w:val="24"/>
        </w:rPr>
        <w:t>。经尿道前列腺热蒸汽消融术（</w:t>
      </w:r>
      <w:r>
        <w:rPr>
          <w:rFonts w:ascii="Times New Roman" w:eastAsia="宋体" w:hAnsi="Times New Roman" w:cs="Times New Roman"/>
          <w:kern w:val="20"/>
          <w:sz w:val="24"/>
        </w:rPr>
        <w:t>Rez</w:t>
      </w:r>
      <w:r>
        <w:rPr>
          <w:rFonts w:ascii="Times New Roman" w:eastAsia="宋体" w:hAnsi="Times New Roman" w:cs="Times New Roman" w:hint="eastAsia"/>
          <w:kern w:val="20"/>
          <w:sz w:val="24"/>
        </w:rPr>
        <w:t>u</w:t>
      </w:r>
      <w:r>
        <w:rPr>
          <w:rFonts w:ascii="Times New Roman" w:eastAsia="宋体" w:hAnsi="Times New Roman" w:cs="Times New Roman"/>
          <w:kern w:val="20"/>
          <w:sz w:val="24"/>
        </w:rPr>
        <w:t>m</w:t>
      </w:r>
      <w:r>
        <w:rPr>
          <w:rFonts w:ascii="Times New Roman" w:eastAsia="宋体" w:hAnsi="Times New Roman" w:cs="Times New Roman"/>
          <w:kern w:val="20"/>
          <w:sz w:val="24"/>
        </w:rPr>
        <w:t>）是治疗良性前列腺增生的新型微</w:t>
      </w:r>
      <w:r>
        <w:rPr>
          <w:rFonts w:ascii="Times New Roman" w:eastAsia="宋体" w:hAnsi="Times New Roman" w:cs="Times New Roman"/>
          <w:kern w:val="20"/>
          <w:sz w:val="24"/>
        </w:rPr>
        <w:lastRenderedPageBreak/>
        <w:t>创技术，具有疗效持久、安全性好、性价比高等优势，在显著改善临床症状的同时，对性功能影响较小，性相关副作用发生率低</w:t>
      </w:r>
      <w:r>
        <w:rPr>
          <w:rFonts w:ascii="Times New Roman" w:eastAsia="宋体" w:hAnsi="Times New Roman" w:cs="Times New Roman"/>
          <w:sz w:val="24"/>
          <w:vertAlign w:val="superscript"/>
        </w:rPr>
        <w:t>[</w:t>
      </w:r>
      <w:r>
        <w:rPr>
          <w:rFonts w:ascii="Times New Roman" w:eastAsia="宋体" w:hAnsi="Times New Roman" w:cs="Times New Roman" w:hint="eastAsia"/>
          <w:sz w:val="24"/>
          <w:vertAlign w:val="superscript"/>
        </w:rPr>
        <w:t>2</w:t>
      </w:r>
      <w:r>
        <w:rPr>
          <w:rFonts w:ascii="Times New Roman" w:eastAsia="宋体" w:hAnsi="Times New Roman" w:cs="Times New Roman"/>
          <w:sz w:val="24"/>
          <w:vertAlign w:val="superscript"/>
        </w:rPr>
        <w:t>]</w:t>
      </w:r>
      <w:r>
        <w:rPr>
          <w:rFonts w:ascii="Times New Roman" w:eastAsia="宋体" w:hAnsi="Times New Roman" w:cs="Times New Roman"/>
          <w:kern w:val="20"/>
          <w:sz w:val="24"/>
        </w:rPr>
        <w:t>。时效性激励护理</w:t>
      </w:r>
      <w:r>
        <w:rPr>
          <w:rFonts w:ascii="Times New Roman" w:eastAsia="宋体" w:hAnsi="Times New Roman" w:cs="Times New Roman"/>
          <w:sz w:val="24"/>
          <w:vertAlign w:val="superscript"/>
        </w:rPr>
        <w:t>[</w:t>
      </w:r>
      <w:r>
        <w:rPr>
          <w:rFonts w:ascii="Times New Roman" w:eastAsia="宋体" w:hAnsi="Times New Roman" w:cs="Times New Roman" w:hint="eastAsia"/>
          <w:sz w:val="24"/>
          <w:vertAlign w:val="superscript"/>
        </w:rPr>
        <w:t>3</w:t>
      </w:r>
      <w:r>
        <w:rPr>
          <w:rFonts w:ascii="Times New Roman" w:eastAsia="宋体" w:hAnsi="Times New Roman" w:cs="Times New Roman"/>
          <w:sz w:val="24"/>
          <w:vertAlign w:val="superscript"/>
        </w:rPr>
        <w:t>]</w:t>
      </w:r>
      <w:r>
        <w:rPr>
          <w:rFonts w:ascii="Times New Roman" w:eastAsia="宋体" w:hAnsi="Times New Roman" w:cs="Times New Roman"/>
          <w:kern w:val="20"/>
          <w:sz w:val="24"/>
        </w:rPr>
        <w:t>（</w:t>
      </w:r>
      <w:r>
        <w:rPr>
          <w:rFonts w:ascii="Times New Roman" w:eastAsia="宋体" w:hAnsi="Times New Roman" w:cs="Times New Roman"/>
          <w:kern w:val="20"/>
          <w:sz w:val="24"/>
        </w:rPr>
        <w:t>Time-sensitive Motivational Care, TMC</w:t>
      </w:r>
      <w:r>
        <w:rPr>
          <w:rFonts w:ascii="Times New Roman" w:eastAsia="宋体" w:hAnsi="Times New Roman" w:cs="Times New Roman"/>
          <w:kern w:val="20"/>
          <w:sz w:val="24"/>
        </w:rPr>
        <w:t>）是一种在最佳时机采用科学激励方法，激发患者主观能动性，帮助其在生理、心理等方面达到最佳状态的护理模式。本研究将基于时效性激励护理模式对我院</w:t>
      </w:r>
      <w:r>
        <w:rPr>
          <w:rFonts w:ascii="Times New Roman" w:eastAsia="宋体" w:hAnsi="Times New Roman" w:cs="Times New Roman"/>
          <w:kern w:val="20"/>
          <w:sz w:val="24"/>
        </w:rPr>
        <w:t>2024</w:t>
      </w:r>
      <w:r>
        <w:rPr>
          <w:rFonts w:ascii="Times New Roman" w:eastAsia="宋体" w:hAnsi="Times New Roman" w:cs="Times New Roman"/>
          <w:kern w:val="20"/>
          <w:sz w:val="24"/>
        </w:rPr>
        <w:t>年</w:t>
      </w:r>
      <w:r>
        <w:rPr>
          <w:rFonts w:ascii="Times New Roman" w:eastAsia="宋体" w:hAnsi="Times New Roman" w:cs="Times New Roman"/>
          <w:kern w:val="20"/>
          <w:sz w:val="24"/>
        </w:rPr>
        <w:t>01</w:t>
      </w:r>
      <w:r>
        <w:rPr>
          <w:rFonts w:ascii="Times New Roman" w:eastAsia="宋体" w:hAnsi="Times New Roman" w:cs="Times New Roman"/>
          <w:kern w:val="20"/>
          <w:sz w:val="24"/>
        </w:rPr>
        <w:t>月至</w:t>
      </w:r>
      <w:r>
        <w:rPr>
          <w:rFonts w:ascii="Times New Roman" w:eastAsia="宋体" w:hAnsi="Times New Roman" w:cs="Times New Roman"/>
          <w:kern w:val="20"/>
          <w:sz w:val="24"/>
        </w:rPr>
        <w:t>2024</w:t>
      </w:r>
      <w:r>
        <w:rPr>
          <w:rFonts w:ascii="Times New Roman" w:eastAsia="宋体" w:hAnsi="Times New Roman" w:cs="Times New Roman"/>
          <w:kern w:val="20"/>
          <w:sz w:val="24"/>
        </w:rPr>
        <w:t>年</w:t>
      </w:r>
      <w:r>
        <w:rPr>
          <w:rFonts w:ascii="Times New Roman" w:eastAsia="宋体" w:hAnsi="Times New Roman" w:cs="Times New Roman"/>
          <w:kern w:val="20"/>
          <w:sz w:val="24"/>
        </w:rPr>
        <w:t>12</w:t>
      </w:r>
      <w:r>
        <w:rPr>
          <w:rFonts w:ascii="Times New Roman" w:eastAsia="宋体" w:hAnsi="Times New Roman" w:cs="Times New Roman"/>
          <w:kern w:val="20"/>
          <w:sz w:val="24"/>
        </w:rPr>
        <w:t>月收治的</w:t>
      </w:r>
      <w:r>
        <w:rPr>
          <w:rFonts w:ascii="Times New Roman" w:eastAsia="宋体" w:hAnsi="Times New Roman" w:cs="Times New Roman"/>
          <w:kern w:val="20"/>
          <w:sz w:val="24"/>
        </w:rPr>
        <w:t>100</w:t>
      </w:r>
      <w:r>
        <w:rPr>
          <w:rFonts w:ascii="Times New Roman" w:eastAsia="宋体" w:hAnsi="Times New Roman" w:cs="Times New Roman"/>
          <w:kern w:val="20"/>
          <w:sz w:val="24"/>
        </w:rPr>
        <w:t>例行经尿道前列腺热蒸汽消融术患者进行研究，分析时效性激励性护理在此类患者中的应用价值，现报道如下。</w:t>
      </w:r>
    </w:p>
    <w:p w14:paraId="78442D40" w14:textId="113A74BB" w:rsidR="0029401A" w:rsidRPr="002713BB" w:rsidRDefault="00000000" w:rsidP="002713BB">
      <w:pPr>
        <w:pStyle w:val="1"/>
        <w:spacing w:line="360" w:lineRule="auto"/>
        <w:rPr>
          <w:rFonts w:asciiTheme="majorEastAsia" w:eastAsiaTheme="majorEastAsia" w:hAnsiTheme="majorEastAsia" w:cstheme="majorEastAsia"/>
          <w:sz w:val="24"/>
          <w:szCs w:val="24"/>
        </w:rPr>
      </w:pPr>
      <w:r w:rsidRPr="002713BB">
        <w:rPr>
          <w:rFonts w:asciiTheme="majorEastAsia" w:eastAsiaTheme="majorEastAsia" w:hAnsiTheme="majorEastAsia" w:cstheme="majorEastAsia"/>
          <w:sz w:val="24"/>
          <w:szCs w:val="24"/>
        </w:rPr>
        <w:t>1</w:t>
      </w:r>
      <w:r w:rsidR="002713BB">
        <w:rPr>
          <w:rFonts w:asciiTheme="majorEastAsia" w:eastAsiaTheme="majorEastAsia" w:hAnsiTheme="majorEastAsia" w:cstheme="majorEastAsia"/>
          <w:sz w:val="24"/>
          <w:szCs w:val="24"/>
        </w:rPr>
        <w:t xml:space="preserve"> </w:t>
      </w:r>
      <w:r w:rsidRPr="002713BB">
        <w:rPr>
          <w:rFonts w:asciiTheme="majorEastAsia" w:eastAsiaTheme="majorEastAsia" w:hAnsiTheme="majorEastAsia" w:cstheme="majorEastAsia"/>
          <w:sz w:val="24"/>
          <w:szCs w:val="24"/>
        </w:rPr>
        <w:t xml:space="preserve">对象与方法 </w:t>
      </w:r>
    </w:p>
    <w:p w14:paraId="6D323D23" w14:textId="77777777" w:rsidR="0029401A" w:rsidRDefault="00000000">
      <w:pPr>
        <w:spacing w:line="360" w:lineRule="auto"/>
        <w:rPr>
          <w:rFonts w:ascii="Times New Roman" w:eastAsia="宋体" w:hAnsi="Times New Roman" w:cs="Times New Roman"/>
          <w:b/>
          <w:bCs/>
          <w:sz w:val="24"/>
        </w:rPr>
      </w:pPr>
      <w:r>
        <w:rPr>
          <w:rFonts w:ascii="Times New Roman" w:eastAsia="宋体" w:hAnsi="Times New Roman" w:cs="Times New Roman"/>
          <w:b/>
          <w:bCs/>
          <w:sz w:val="24"/>
        </w:rPr>
        <w:t>1.1</w:t>
      </w:r>
      <w:r>
        <w:rPr>
          <w:rFonts w:ascii="Times New Roman" w:eastAsia="宋体" w:hAnsi="Times New Roman" w:cs="Times New Roman"/>
          <w:b/>
          <w:bCs/>
          <w:sz w:val="24"/>
        </w:rPr>
        <w:t>研究对象</w:t>
      </w:r>
    </w:p>
    <w:p w14:paraId="6ED43242" w14:textId="77777777" w:rsidR="0029401A"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kern w:val="20"/>
          <w:sz w:val="24"/>
        </w:rPr>
        <w:t>选取</w:t>
      </w:r>
      <w:r>
        <w:rPr>
          <w:rFonts w:ascii="Times New Roman" w:eastAsia="宋体" w:hAnsi="Times New Roman" w:cs="Times New Roman"/>
          <w:kern w:val="20"/>
          <w:sz w:val="24"/>
        </w:rPr>
        <w:t>2024</w:t>
      </w:r>
      <w:r>
        <w:rPr>
          <w:rFonts w:ascii="Times New Roman" w:eastAsia="宋体" w:hAnsi="Times New Roman" w:cs="Times New Roman"/>
          <w:kern w:val="20"/>
          <w:sz w:val="24"/>
        </w:rPr>
        <w:t>年</w:t>
      </w:r>
      <w:r>
        <w:rPr>
          <w:rFonts w:ascii="Times New Roman" w:eastAsia="宋体" w:hAnsi="Times New Roman" w:cs="Times New Roman" w:hint="eastAsia"/>
          <w:kern w:val="20"/>
          <w:sz w:val="24"/>
        </w:rPr>
        <w:t>01</w:t>
      </w:r>
      <w:r>
        <w:rPr>
          <w:rFonts w:ascii="Times New Roman" w:eastAsia="宋体" w:hAnsi="Times New Roman" w:cs="Times New Roman"/>
          <w:kern w:val="20"/>
          <w:sz w:val="24"/>
        </w:rPr>
        <w:t>月</w:t>
      </w:r>
      <w:r>
        <w:rPr>
          <w:rFonts w:ascii="Times New Roman" w:eastAsia="宋体" w:hAnsi="Times New Roman" w:cs="Times New Roman"/>
          <w:kern w:val="20"/>
          <w:sz w:val="24"/>
        </w:rPr>
        <w:t>-202</w:t>
      </w:r>
      <w:r>
        <w:rPr>
          <w:rFonts w:ascii="Times New Roman" w:eastAsia="宋体" w:hAnsi="Times New Roman" w:cs="Times New Roman" w:hint="eastAsia"/>
          <w:kern w:val="20"/>
          <w:sz w:val="24"/>
        </w:rPr>
        <w:t>4</w:t>
      </w:r>
      <w:r>
        <w:rPr>
          <w:rFonts w:ascii="Times New Roman" w:eastAsia="宋体" w:hAnsi="Times New Roman" w:cs="Times New Roman"/>
          <w:kern w:val="20"/>
          <w:sz w:val="24"/>
        </w:rPr>
        <w:t>年</w:t>
      </w:r>
      <w:r>
        <w:rPr>
          <w:rFonts w:ascii="Times New Roman" w:eastAsia="宋体" w:hAnsi="Times New Roman" w:cs="Times New Roman" w:hint="eastAsia"/>
          <w:kern w:val="20"/>
          <w:sz w:val="24"/>
        </w:rPr>
        <w:t>12</w:t>
      </w:r>
      <w:r>
        <w:rPr>
          <w:rFonts w:ascii="Times New Roman" w:eastAsia="宋体" w:hAnsi="Times New Roman" w:cs="Times New Roman"/>
          <w:kern w:val="20"/>
          <w:sz w:val="24"/>
        </w:rPr>
        <w:t>月至</w:t>
      </w:r>
      <w:r>
        <w:rPr>
          <w:rFonts w:ascii="Times New Roman" w:eastAsia="宋体" w:hAnsi="Times New Roman" w:cs="Times New Roman" w:hint="eastAsia"/>
          <w:kern w:val="20"/>
          <w:sz w:val="24"/>
        </w:rPr>
        <w:t>南京某医院</w:t>
      </w:r>
      <w:r>
        <w:rPr>
          <w:rFonts w:ascii="Times New Roman" w:eastAsia="宋体" w:hAnsi="Times New Roman" w:cs="Times New Roman"/>
          <w:kern w:val="20"/>
          <w:sz w:val="24"/>
        </w:rPr>
        <w:t>泌尿外科行经尿道前列腺热蒸汽消融术的</w:t>
      </w:r>
      <w:r>
        <w:rPr>
          <w:rFonts w:ascii="Times New Roman" w:eastAsia="宋体" w:hAnsi="Times New Roman" w:cs="Times New Roman"/>
          <w:kern w:val="20"/>
          <w:sz w:val="24"/>
        </w:rPr>
        <w:t>100</w:t>
      </w:r>
      <w:r>
        <w:rPr>
          <w:rFonts w:ascii="Times New Roman" w:eastAsia="宋体" w:hAnsi="Times New Roman" w:cs="Times New Roman"/>
          <w:kern w:val="20"/>
          <w:sz w:val="24"/>
        </w:rPr>
        <w:t>例患者为研究对象，采用随机数字表法进行分组，患者分别纳入对照组和</w:t>
      </w:r>
      <w:r>
        <w:rPr>
          <w:rFonts w:ascii="Times New Roman" w:eastAsia="宋体" w:hAnsi="Times New Roman" w:cs="Times New Roman" w:hint="eastAsia"/>
          <w:kern w:val="20"/>
          <w:sz w:val="24"/>
        </w:rPr>
        <w:t>观察</w:t>
      </w:r>
      <w:r>
        <w:rPr>
          <w:rFonts w:ascii="Times New Roman" w:eastAsia="宋体" w:hAnsi="Times New Roman" w:cs="Times New Roman"/>
          <w:kern w:val="20"/>
          <w:sz w:val="24"/>
        </w:rPr>
        <w:t>组，每组各</w:t>
      </w:r>
      <w:r>
        <w:rPr>
          <w:rFonts w:ascii="Times New Roman" w:eastAsia="宋体" w:hAnsi="Times New Roman" w:cs="Times New Roman"/>
          <w:kern w:val="20"/>
          <w:sz w:val="24"/>
        </w:rPr>
        <w:t>50</w:t>
      </w:r>
      <w:r>
        <w:rPr>
          <w:rFonts w:ascii="Times New Roman" w:eastAsia="宋体" w:hAnsi="Times New Roman" w:cs="Times New Roman"/>
          <w:kern w:val="20"/>
          <w:sz w:val="24"/>
        </w:rPr>
        <w:t>例。纳入标准：</w:t>
      </w:r>
      <w:r>
        <w:rPr>
          <w:rFonts w:ascii="Times New Roman" w:eastAsia="宋体" w:hAnsi="Times New Roman" w:cs="Times New Roman"/>
          <w:kern w:val="20"/>
          <w:sz w:val="24"/>
        </w:rPr>
        <w:t>①</w:t>
      </w:r>
      <w:r>
        <w:rPr>
          <w:rFonts w:ascii="Times New Roman" w:eastAsia="宋体" w:hAnsi="Times New Roman" w:cs="Times New Roman"/>
          <w:kern w:val="20"/>
          <w:sz w:val="24"/>
        </w:rPr>
        <w:t>超声明确诊断为前列腺增生；</w:t>
      </w:r>
      <w:r>
        <w:rPr>
          <w:rFonts w:ascii="Times New Roman" w:eastAsia="宋体" w:hAnsi="Times New Roman" w:cs="Times New Roman"/>
          <w:kern w:val="20"/>
          <w:sz w:val="24"/>
        </w:rPr>
        <w:t>②</w:t>
      </w:r>
      <w:r>
        <w:rPr>
          <w:rFonts w:ascii="Times New Roman" w:eastAsia="宋体" w:hAnsi="Times New Roman" w:cs="Times New Roman"/>
          <w:kern w:val="20"/>
          <w:sz w:val="24"/>
        </w:rPr>
        <w:t>存在手术指征；</w:t>
      </w:r>
      <w:r>
        <w:rPr>
          <w:rFonts w:ascii="Times New Roman" w:eastAsia="宋体" w:hAnsi="Times New Roman" w:cs="Times New Roman"/>
          <w:kern w:val="20"/>
          <w:sz w:val="24"/>
        </w:rPr>
        <w:t>③</w:t>
      </w:r>
      <w:r>
        <w:rPr>
          <w:rFonts w:ascii="Times New Roman" w:eastAsia="宋体" w:hAnsi="Times New Roman" w:cs="Times New Roman"/>
          <w:kern w:val="20"/>
          <w:sz w:val="24"/>
        </w:rPr>
        <w:t>术前无意识障碍、语言障碍、精神障碍；</w:t>
      </w:r>
      <w:r>
        <w:rPr>
          <w:rFonts w:ascii="Times New Roman" w:eastAsia="宋体" w:hAnsi="Times New Roman" w:cs="Times New Roman"/>
          <w:kern w:val="20"/>
          <w:sz w:val="24"/>
        </w:rPr>
        <w:t>④</w:t>
      </w:r>
      <w:r>
        <w:rPr>
          <w:rFonts w:ascii="Times New Roman" w:eastAsia="宋体" w:hAnsi="Times New Roman" w:cs="Times New Roman"/>
          <w:kern w:val="20"/>
          <w:sz w:val="24"/>
        </w:rPr>
        <w:t>治疗方案均为经尿道前列腺热蒸汽消融术。排除标准：</w:t>
      </w:r>
      <w:r>
        <w:rPr>
          <w:rFonts w:ascii="Times New Roman" w:eastAsia="宋体" w:hAnsi="Times New Roman" w:cs="Times New Roman"/>
          <w:kern w:val="20"/>
          <w:sz w:val="24"/>
        </w:rPr>
        <w:t>①</w:t>
      </w:r>
      <w:r>
        <w:rPr>
          <w:rFonts w:ascii="Times New Roman" w:eastAsia="宋体" w:hAnsi="Times New Roman" w:cs="Times New Roman"/>
          <w:color w:val="000000"/>
          <w:kern w:val="0"/>
          <w:sz w:val="24"/>
          <w:lang w:bidi="ar"/>
        </w:rPr>
        <w:t>心脑</w:t>
      </w:r>
      <w:r>
        <w:rPr>
          <w:rFonts w:ascii="Times New Roman" w:eastAsia="宋体" w:hAnsi="Times New Roman" w:cs="Times New Roman"/>
          <w:kern w:val="20"/>
          <w:sz w:val="24"/>
        </w:rPr>
        <w:t>血管严重疾病或脑外伤、脑血管病变；</w:t>
      </w:r>
      <w:r>
        <w:rPr>
          <w:rFonts w:ascii="Times New Roman" w:eastAsia="宋体" w:hAnsi="Times New Roman" w:cs="Times New Roman"/>
          <w:kern w:val="20"/>
          <w:sz w:val="24"/>
        </w:rPr>
        <w:t>②</w:t>
      </w:r>
      <w:r>
        <w:rPr>
          <w:rFonts w:ascii="Times New Roman" w:eastAsia="宋体" w:hAnsi="Times New Roman" w:cs="Times New Roman"/>
          <w:kern w:val="20"/>
          <w:sz w:val="24"/>
        </w:rPr>
        <w:t>服用影响认知功能的药物；</w:t>
      </w:r>
      <w:r>
        <w:rPr>
          <w:rFonts w:ascii="Times New Roman" w:eastAsia="宋体" w:hAnsi="Times New Roman" w:cs="Times New Roman"/>
          <w:kern w:val="20"/>
          <w:sz w:val="24"/>
        </w:rPr>
        <w:t>③</w:t>
      </w:r>
      <w:r>
        <w:rPr>
          <w:rFonts w:ascii="Times New Roman" w:eastAsia="宋体" w:hAnsi="Times New Roman" w:cs="Times New Roman"/>
          <w:kern w:val="20"/>
          <w:sz w:val="24"/>
        </w:rPr>
        <w:t>存在前列腺手术史；</w:t>
      </w:r>
      <w:r>
        <w:rPr>
          <w:rFonts w:ascii="Times New Roman" w:eastAsia="宋体" w:hAnsi="Times New Roman" w:cs="Times New Roman"/>
          <w:kern w:val="20"/>
          <w:sz w:val="24"/>
        </w:rPr>
        <w:t>④</w:t>
      </w:r>
      <w:r>
        <w:rPr>
          <w:rFonts w:ascii="Times New Roman" w:eastAsia="宋体" w:hAnsi="Times New Roman" w:cs="Times New Roman"/>
          <w:kern w:val="20"/>
          <w:sz w:val="24"/>
        </w:rPr>
        <w:t>存在其他泌尿系统疾病；</w:t>
      </w:r>
      <w:r>
        <w:rPr>
          <w:rFonts w:ascii="Times New Roman" w:eastAsia="宋体" w:hAnsi="Times New Roman" w:cs="Times New Roman"/>
          <w:kern w:val="20"/>
          <w:sz w:val="24"/>
        </w:rPr>
        <w:t>⑤</w:t>
      </w:r>
      <w:r>
        <w:rPr>
          <w:rFonts w:ascii="Times New Roman" w:eastAsia="宋体" w:hAnsi="Times New Roman" w:cs="Times New Roman"/>
          <w:kern w:val="20"/>
          <w:sz w:val="24"/>
        </w:rPr>
        <w:t>重要器官发生病变。两组患者一般资料比较，差异无统计学意义（</w:t>
      </w:r>
      <w:r>
        <w:rPr>
          <w:rFonts w:ascii="Times New Roman" w:eastAsia="宋体" w:hAnsi="Times New Roman" w:cs="Times New Roman"/>
          <w:i/>
          <w:iCs/>
          <w:kern w:val="20"/>
          <w:sz w:val="24"/>
        </w:rPr>
        <w:t>P</w:t>
      </w:r>
      <w:r>
        <w:rPr>
          <w:rFonts w:ascii="Times New Roman" w:eastAsia="宋体" w:hAnsi="Times New Roman" w:cs="Times New Roman"/>
          <w:kern w:val="20"/>
          <w:sz w:val="24"/>
        </w:rPr>
        <w:t>＞</w:t>
      </w:r>
      <w:r>
        <w:rPr>
          <w:rFonts w:ascii="Times New Roman" w:eastAsia="宋体" w:hAnsi="Times New Roman" w:cs="Times New Roman"/>
          <w:kern w:val="20"/>
          <w:sz w:val="24"/>
        </w:rPr>
        <w:t>0.05</w:t>
      </w:r>
      <w:r>
        <w:rPr>
          <w:rFonts w:ascii="Times New Roman" w:eastAsia="宋体" w:hAnsi="Times New Roman" w:cs="Times New Roman"/>
          <w:kern w:val="20"/>
          <w:sz w:val="24"/>
        </w:rPr>
        <w:t>），见表</w:t>
      </w:r>
      <w:r>
        <w:rPr>
          <w:rFonts w:ascii="Times New Roman" w:eastAsia="宋体" w:hAnsi="Times New Roman" w:cs="Times New Roman"/>
          <w:kern w:val="20"/>
          <w:sz w:val="24"/>
        </w:rPr>
        <w:t>1</w:t>
      </w:r>
      <w:r>
        <w:rPr>
          <w:rFonts w:ascii="Times New Roman" w:eastAsia="宋体" w:hAnsi="Times New Roman" w:cs="Times New Roman"/>
          <w:kern w:val="20"/>
          <w:sz w:val="24"/>
        </w:rPr>
        <w:t>。所有患者均签署书面知情同意书，本研究获得医</w:t>
      </w:r>
      <w:r>
        <w:rPr>
          <w:rFonts w:ascii="Times New Roman" w:eastAsia="宋体" w:hAnsi="Times New Roman" w:cs="Times New Roman"/>
          <w:color w:val="000000"/>
          <w:kern w:val="0"/>
          <w:sz w:val="24"/>
          <w:lang w:bidi="ar"/>
        </w:rPr>
        <w:t>院医学伦理委员会批准进行（批准号：</w:t>
      </w:r>
      <w:r>
        <w:rPr>
          <w:rFonts w:ascii="Times New Roman" w:eastAsia="宋体" w:hAnsi="Times New Roman" w:cs="Times New Roman"/>
          <w:color w:val="000000"/>
          <w:kern w:val="0"/>
          <w:sz w:val="24"/>
          <w:lang w:bidi="ar"/>
        </w:rPr>
        <w:t>2024-752-01</w:t>
      </w:r>
      <w:r>
        <w:rPr>
          <w:rFonts w:ascii="Times New Roman" w:eastAsia="宋体" w:hAnsi="Times New Roman" w:cs="Times New Roman"/>
          <w:color w:val="000000"/>
          <w:kern w:val="0"/>
          <w:sz w:val="24"/>
          <w:lang w:bidi="ar"/>
        </w:rPr>
        <w:t>）</w:t>
      </w:r>
      <w:r>
        <w:rPr>
          <w:rFonts w:ascii="Times New Roman" w:eastAsia="宋体" w:hAnsi="Times New Roman" w:cs="Times New Roman"/>
          <w:sz w:val="24"/>
        </w:rPr>
        <w:t>。</w:t>
      </w:r>
    </w:p>
    <w:p w14:paraId="52C62E29" w14:textId="77777777" w:rsidR="0029401A" w:rsidRDefault="00000000">
      <w:pPr>
        <w:spacing w:line="360" w:lineRule="auto"/>
        <w:rPr>
          <w:rFonts w:ascii="Times New Roman" w:eastAsia="宋体" w:hAnsi="Times New Roman" w:cs="Times New Roman"/>
          <w:b/>
          <w:bCs/>
          <w:sz w:val="24"/>
        </w:rPr>
      </w:pPr>
      <w:r>
        <w:rPr>
          <w:rFonts w:ascii="Times New Roman" w:eastAsia="宋体" w:hAnsi="Times New Roman" w:cs="Times New Roman"/>
          <w:b/>
          <w:bCs/>
          <w:sz w:val="24"/>
        </w:rPr>
        <w:t xml:space="preserve">1.2 </w:t>
      </w:r>
      <w:r>
        <w:rPr>
          <w:rFonts w:ascii="Times New Roman" w:eastAsia="宋体" w:hAnsi="Times New Roman" w:cs="Times New Roman"/>
          <w:b/>
          <w:bCs/>
          <w:sz w:val="24"/>
        </w:rPr>
        <w:t>方法</w:t>
      </w:r>
    </w:p>
    <w:p w14:paraId="2D26C4F1" w14:textId="77777777" w:rsidR="0029401A" w:rsidRDefault="00000000">
      <w:pPr>
        <w:widowControl/>
        <w:spacing w:line="360" w:lineRule="auto"/>
        <w:rPr>
          <w:rFonts w:ascii="Times New Roman" w:eastAsia="宋体" w:hAnsi="Times New Roman" w:cs="Times New Roman"/>
          <w:kern w:val="20"/>
          <w:sz w:val="24"/>
        </w:rPr>
      </w:pPr>
      <w:r>
        <w:rPr>
          <w:rFonts w:ascii="Times New Roman" w:eastAsia="宋体" w:hAnsi="Times New Roman" w:cs="Times New Roman"/>
          <w:b/>
          <w:bCs/>
          <w:sz w:val="24"/>
        </w:rPr>
        <w:t>1.2.1</w:t>
      </w:r>
      <w:r>
        <w:rPr>
          <w:rFonts w:ascii="Times New Roman" w:eastAsia="宋体" w:hAnsi="Times New Roman" w:cs="Times New Roman"/>
          <w:b/>
          <w:bCs/>
          <w:sz w:val="24"/>
        </w:rPr>
        <w:t>对照组</w:t>
      </w:r>
      <w:r>
        <w:rPr>
          <w:rFonts w:ascii="Times New Roman" w:eastAsia="宋体" w:hAnsi="Times New Roman" w:cs="Times New Roman"/>
          <w:b/>
          <w:bCs/>
          <w:sz w:val="24"/>
        </w:rPr>
        <w:t xml:space="preserve">  </w:t>
      </w:r>
      <w:r>
        <w:rPr>
          <w:rFonts w:ascii="Times New Roman" w:eastAsia="宋体" w:hAnsi="Times New Roman" w:cs="Times New Roman"/>
          <w:kern w:val="20"/>
          <w:sz w:val="24"/>
        </w:rPr>
        <w:t>患者接受常规护理：完善术前检查，进行常规宣教，告知手术注意事项，予以适当的心理疏导与营养干预；术中持续监测患者体征，注意保暖；术后遵循医嘱用药，合理镇痛，予以患者体位指导，适当调整其饮食结构，指导其进行术后康复训练。</w:t>
      </w:r>
    </w:p>
    <w:p w14:paraId="3387FCBA" w14:textId="77777777" w:rsidR="0029401A" w:rsidRDefault="00000000">
      <w:pPr>
        <w:spacing w:line="360" w:lineRule="auto"/>
        <w:rPr>
          <w:rFonts w:ascii="Times New Roman" w:eastAsia="宋体" w:hAnsi="Times New Roman" w:cs="Times New Roman"/>
          <w:sz w:val="24"/>
        </w:rPr>
      </w:pPr>
      <w:r>
        <w:rPr>
          <w:rFonts w:ascii="Times New Roman" w:eastAsia="宋体" w:hAnsi="Times New Roman" w:cs="Times New Roman"/>
          <w:b/>
          <w:bCs/>
          <w:sz w:val="24"/>
        </w:rPr>
        <w:t>1.2.2</w:t>
      </w:r>
      <w:r>
        <w:rPr>
          <w:rFonts w:ascii="Times New Roman" w:eastAsia="宋体" w:hAnsi="Times New Roman" w:cs="Times New Roman" w:hint="eastAsia"/>
          <w:b/>
          <w:bCs/>
          <w:sz w:val="24"/>
        </w:rPr>
        <w:t>观察组</w:t>
      </w:r>
      <w:r>
        <w:rPr>
          <w:rFonts w:ascii="Times New Roman" w:eastAsia="宋体" w:hAnsi="Times New Roman" w:cs="Times New Roman"/>
          <w:kern w:val="20"/>
          <w:sz w:val="24"/>
        </w:rPr>
        <w:t xml:space="preserve">  </w:t>
      </w:r>
      <w:r>
        <w:rPr>
          <w:rFonts w:ascii="Times New Roman" w:eastAsia="宋体" w:hAnsi="Times New Roman" w:cs="Times New Roman"/>
          <w:kern w:val="20"/>
          <w:sz w:val="24"/>
        </w:rPr>
        <w:t>患者接受时效性激励理论的护理干预，即在对照组的基础上</w:t>
      </w:r>
      <w:r>
        <w:rPr>
          <w:rFonts w:ascii="Times New Roman" w:eastAsia="宋体" w:hAnsi="Times New Roman" w:cs="Times New Roman" w:hint="eastAsia"/>
          <w:kern w:val="20"/>
          <w:sz w:val="24"/>
        </w:rPr>
        <w:t>采用</w:t>
      </w:r>
      <w:r>
        <w:rPr>
          <w:rFonts w:ascii="Times New Roman" w:eastAsia="宋体" w:hAnsi="Times New Roman" w:cs="Times New Roman"/>
          <w:kern w:val="20"/>
          <w:sz w:val="24"/>
        </w:rPr>
        <w:t>基于时效性激励理论的护理干预。</w:t>
      </w:r>
      <w:r>
        <w:rPr>
          <w:rFonts w:ascii="Times New Roman" w:eastAsia="宋体" w:hAnsi="Times New Roman" w:cs="Times New Roman" w:hint="eastAsia"/>
          <w:kern w:val="20"/>
          <w:sz w:val="24"/>
        </w:rPr>
        <w:t>理论包括情感激励、需要激励、榜样激励和利益激励，选择疾病的关键节点作为最佳时机进行干预</w:t>
      </w:r>
      <w:r>
        <w:rPr>
          <w:rFonts w:ascii="Times New Roman" w:eastAsia="宋体" w:hAnsi="Times New Roman" w:cs="Times New Roman"/>
          <w:sz w:val="24"/>
          <w:vertAlign w:val="superscript"/>
        </w:rPr>
        <w:t>[</w:t>
      </w:r>
      <w:r>
        <w:rPr>
          <w:rFonts w:ascii="Times New Roman" w:eastAsia="宋体" w:hAnsi="Times New Roman" w:cs="Times New Roman" w:hint="eastAsia"/>
          <w:sz w:val="24"/>
          <w:vertAlign w:val="superscript"/>
        </w:rPr>
        <w:t>4</w:t>
      </w:r>
      <w:r>
        <w:rPr>
          <w:rFonts w:ascii="Times New Roman" w:eastAsia="宋体" w:hAnsi="Times New Roman" w:cs="Times New Roman"/>
          <w:sz w:val="24"/>
          <w:vertAlign w:val="superscript"/>
        </w:rPr>
        <w:t>]</w:t>
      </w:r>
      <w:r>
        <w:rPr>
          <w:rFonts w:ascii="Times New Roman" w:eastAsia="宋体" w:hAnsi="Times New Roman" w:cs="Times New Roman" w:hint="eastAsia"/>
          <w:kern w:val="20"/>
          <w:sz w:val="24"/>
        </w:rPr>
        <w:t>。</w:t>
      </w:r>
      <w:r>
        <w:rPr>
          <w:rFonts w:ascii="Times New Roman" w:eastAsia="宋体" w:hAnsi="Times New Roman" w:cs="Times New Roman"/>
          <w:kern w:val="20"/>
          <w:sz w:val="24"/>
        </w:rPr>
        <w:t>建立时效性激励护理干预小组，小组以</w:t>
      </w:r>
      <w:r>
        <w:rPr>
          <w:rFonts w:ascii="Times New Roman" w:eastAsia="宋体" w:hAnsi="Times New Roman" w:cs="Times New Roman"/>
          <w:kern w:val="20"/>
          <w:sz w:val="24"/>
        </w:rPr>
        <w:t>1</w:t>
      </w:r>
      <w:r>
        <w:rPr>
          <w:rFonts w:ascii="Times New Roman" w:eastAsia="宋体" w:hAnsi="Times New Roman" w:cs="Times New Roman"/>
          <w:kern w:val="20"/>
          <w:sz w:val="24"/>
        </w:rPr>
        <w:t>名护士长为组长，负责指导护理干预的实施及安排小组成员工作；</w:t>
      </w:r>
      <w:r>
        <w:rPr>
          <w:rFonts w:ascii="Times New Roman" w:eastAsia="宋体" w:hAnsi="Times New Roman" w:cs="Times New Roman"/>
          <w:kern w:val="20"/>
          <w:sz w:val="24"/>
        </w:rPr>
        <w:t>1</w:t>
      </w:r>
      <w:r>
        <w:rPr>
          <w:rFonts w:ascii="Times New Roman" w:eastAsia="宋体" w:hAnsi="Times New Roman" w:cs="Times New Roman"/>
          <w:kern w:val="20"/>
          <w:sz w:val="24"/>
        </w:rPr>
        <w:t>名主治医师，负责为患者与组员提供咨询；</w:t>
      </w:r>
      <w:r>
        <w:rPr>
          <w:rFonts w:ascii="Times New Roman" w:eastAsia="宋体" w:hAnsi="Times New Roman" w:cs="Times New Roman"/>
          <w:kern w:val="20"/>
          <w:sz w:val="24"/>
        </w:rPr>
        <w:t>4</w:t>
      </w:r>
      <w:r>
        <w:rPr>
          <w:rFonts w:ascii="Times New Roman" w:eastAsia="宋体" w:hAnsi="Times New Roman" w:cs="Times New Roman"/>
          <w:kern w:val="20"/>
          <w:sz w:val="24"/>
        </w:rPr>
        <w:t>名具有</w:t>
      </w:r>
      <w:r>
        <w:rPr>
          <w:rFonts w:ascii="Times New Roman" w:eastAsia="宋体" w:hAnsi="Times New Roman" w:cs="Times New Roman"/>
          <w:kern w:val="20"/>
          <w:sz w:val="24"/>
        </w:rPr>
        <w:t xml:space="preserve"> 5</w:t>
      </w:r>
      <w:r>
        <w:rPr>
          <w:rFonts w:ascii="Times New Roman" w:eastAsia="宋体" w:hAnsi="Times New Roman" w:cs="Times New Roman"/>
          <w:kern w:val="20"/>
          <w:sz w:val="24"/>
        </w:rPr>
        <w:t>年以上泌尿外科护</w:t>
      </w:r>
      <w:r>
        <w:rPr>
          <w:rFonts w:ascii="Times New Roman" w:eastAsia="宋体" w:hAnsi="Times New Roman" w:cs="Times New Roman"/>
          <w:kern w:val="20"/>
          <w:sz w:val="24"/>
        </w:rPr>
        <w:lastRenderedPageBreak/>
        <w:t>理工作经验的护理人员负责实施护理措施；所有组员均接受过本项理论相关知识培训，熟悉并掌握本项护理方法与有关事项。了解患者的护理需求，为其制定针对性护理方案，具体干</w:t>
      </w:r>
      <w:r>
        <w:rPr>
          <w:rFonts w:ascii="Times New Roman" w:eastAsia="宋体" w:hAnsi="Times New Roman" w:cs="Times New Roman"/>
          <w:sz w:val="24"/>
        </w:rPr>
        <w:t>预措施如下。</w:t>
      </w:r>
    </w:p>
    <w:p w14:paraId="3048EE7B" w14:textId="77777777" w:rsidR="0029401A" w:rsidRDefault="00000000">
      <w:pPr>
        <w:spacing w:line="360" w:lineRule="auto"/>
        <w:rPr>
          <w:rFonts w:ascii="Times New Roman" w:eastAsia="宋体" w:hAnsi="Times New Roman" w:cs="Times New Roman"/>
          <w:b/>
          <w:bCs/>
          <w:sz w:val="24"/>
        </w:rPr>
      </w:pPr>
      <w:r>
        <w:rPr>
          <w:rFonts w:ascii="Times New Roman" w:eastAsia="宋体" w:hAnsi="Times New Roman" w:cs="Times New Roman"/>
          <w:b/>
          <w:bCs/>
          <w:sz w:val="24"/>
        </w:rPr>
        <w:t>1.2.2.1</w:t>
      </w:r>
      <w:r>
        <w:rPr>
          <w:rFonts w:ascii="Times New Roman" w:eastAsia="宋体" w:hAnsi="Times New Roman" w:cs="Times New Roman" w:hint="eastAsia"/>
          <w:b/>
          <w:bCs/>
          <w:sz w:val="24"/>
        </w:rPr>
        <w:t>需要激励</w:t>
      </w:r>
    </w:p>
    <w:p w14:paraId="54A467A3" w14:textId="77777777" w:rsidR="0029401A" w:rsidRDefault="00000000">
      <w:pPr>
        <w:spacing w:line="360" w:lineRule="auto"/>
        <w:ind w:firstLineChars="200" w:firstLine="480"/>
        <w:rPr>
          <w:rFonts w:ascii="Times New Roman" w:eastAsia="宋体" w:hAnsi="Times New Roman" w:cs="Times New Roman"/>
          <w:kern w:val="20"/>
          <w:sz w:val="24"/>
        </w:rPr>
      </w:pPr>
      <w:r>
        <w:rPr>
          <w:rFonts w:ascii="Times New Roman" w:eastAsia="宋体" w:hAnsi="Times New Roman" w:cs="Times New Roman"/>
          <w:kern w:val="20"/>
          <w:sz w:val="24"/>
        </w:rPr>
        <w:t>①</w:t>
      </w:r>
      <w:r>
        <w:rPr>
          <w:rFonts w:ascii="Times New Roman" w:eastAsia="宋体" w:hAnsi="Times New Roman" w:cs="Times New Roman"/>
          <w:kern w:val="20"/>
          <w:sz w:val="24"/>
        </w:rPr>
        <w:t>疼痛管理</w:t>
      </w:r>
      <w:r>
        <w:rPr>
          <w:rFonts w:ascii="Times New Roman" w:eastAsia="宋体" w:hAnsi="Times New Roman" w:cs="Times New Roman" w:hint="eastAsia"/>
          <w:kern w:val="20"/>
          <w:sz w:val="24"/>
        </w:rPr>
        <w:t>：</w:t>
      </w:r>
      <w:r>
        <w:rPr>
          <w:rFonts w:ascii="Times New Roman" w:eastAsia="宋体" w:hAnsi="Times New Roman" w:cs="Times New Roman"/>
          <w:kern w:val="20"/>
          <w:sz w:val="24"/>
        </w:rPr>
        <w:t>采用预判性镇痛联合多模式干预策略</w:t>
      </w:r>
      <w:r>
        <w:rPr>
          <w:rFonts w:ascii="Times New Roman" w:eastAsia="宋体" w:hAnsi="Times New Roman" w:cs="Times New Roman" w:hint="eastAsia"/>
          <w:kern w:val="20"/>
          <w:sz w:val="24"/>
        </w:rPr>
        <w:t>进行疼痛管理，</w:t>
      </w:r>
      <w:r>
        <w:rPr>
          <w:rFonts w:ascii="Times New Roman" w:eastAsia="宋体" w:hAnsi="Times New Roman" w:cs="Times New Roman"/>
          <w:kern w:val="20"/>
          <w:sz w:val="24"/>
        </w:rPr>
        <w:t>术前</w:t>
      </w:r>
      <w:r>
        <w:rPr>
          <w:rFonts w:ascii="Times New Roman" w:eastAsia="宋体" w:hAnsi="Times New Roman" w:cs="Times New Roman"/>
          <w:kern w:val="20"/>
          <w:sz w:val="24"/>
        </w:rPr>
        <w:t>1</w:t>
      </w:r>
      <w:r>
        <w:rPr>
          <w:rFonts w:ascii="Times New Roman" w:eastAsia="宋体" w:hAnsi="Times New Roman" w:cs="Times New Roman"/>
          <w:kern w:val="20"/>
          <w:sz w:val="24"/>
        </w:rPr>
        <w:t>小时口服塞来昔布</w:t>
      </w:r>
      <w:r>
        <w:rPr>
          <w:rFonts w:ascii="Times New Roman" w:eastAsia="宋体" w:hAnsi="Times New Roman" w:cs="Times New Roman"/>
          <w:kern w:val="20"/>
          <w:sz w:val="24"/>
        </w:rPr>
        <w:t>200mg</w:t>
      </w:r>
      <w:r>
        <w:rPr>
          <w:rFonts w:ascii="Times New Roman" w:eastAsia="宋体" w:hAnsi="Times New Roman" w:cs="Times New Roman"/>
          <w:kern w:val="20"/>
          <w:sz w:val="24"/>
        </w:rPr>
        <w:t>，术后每</w:t>
      </w:r>
      <w:r>
        <w:rPr>
          <w:rFonts w:ascii="Times New Roman" w:eastAsia="宋体" w:hAnsi="Times New Roman" w:cs="Times New Roman"/>
          <w:kern w:val="20"/>
          <w:sz w:val="24"/>
        </w:rPr>
        <w:t>8</w:t>
      </w:r>
      <w:r>
        <w:rPr>
          <w:rFonts w:ascii="Times New Roman" w:eastAsia="宋体" w:hAnsi="Times New Roman" w:cs="Times New Roman"/>
          <w:kern w:val="20"/>
          <w:sz w:val="24"/>
        </w:rPr>
        <w:t>小时规律追加；术后即刻启动会阴部冰敷（</w:t>
      </w:r>
      <w:r>
        <w:rPr>
          <w:rFonts w:ascii="Times New Roman" w:eastAsia="宋体" w:hAnsi="Times New Roman" w:cs="Times New Roman"/>
          <w:kern w:val="20"/>
          <w:sz w:val="24"/>
        </w:rPr>
        <w:t>10</w:t>
      </w:r>
      <w:r>
        <w:rPr>
          <w:rFonts w:ascii="Times New Roman" w:eastAsia="宋体" w:hAnsi="Times New Roman" w:cs="Times New Roman"/>
          <w:kern w:val="20"/>
          <w:sz w:val="24"/>
        </w:rPr>
        <w:t>分钟</w:t>
      </w:r>
      <w:r>
        <w:rPr>
          <w:rFonts w:ascii="Times New Roman" w:eastAsia="宋体" w:hAnsi="Times New Roman" w:cs="Times New Roman"/>
          <w:kern w:val="20"/>
          <w:sz w:val="24"/>
        </w:rPr>
        <w:t>/</w:t>
      </w:r>
      <w:r>
        <w:rPr>
          <w:rFonts w:ascii="Times New Roman" w:eastAsia="宋体" w:hAnsi="Times New Roman" w:cs="Times New Roman"/>
          <w:kern w:val="20"/>
          <w:sz w:val="24"/>
        </w:rPr>
        <w:t>次，每</w:t>
      </w:r>
      <w:r>
        <w:rPr>
          <w:rFonts w:ascii="Times New Roman" w:eastAsia="宋体" w:hAnsi="Times New Roman" w:cs="Times New Roman"/>
          <w:kern w:val="20"/>
          <w:sz w:val="24"/>
        </w:rPr>
        <w:t>2</w:t>
      </w:r>
      <w:r>
        <w:rPr>
          <w:rFonts w:ascii="Times New Roman" w:eastAsia="宋体" w:hAnsi="Times New Roman" w:cs="Times New Roman"/>
          <w:kern w:val="20"/>
          <w:sz w:val="24"/>
        </w:rPr>
        <w:t>小时重复，持续</w:t>
      </w:r>
      <w:r>
        <w:rPr>
          <w:rFonts w:ascii="Times New Roman" w:eastAsia="宋体" w:hAnsi="Times New Roman" w:cs="Times New Roman"/>
          <w:kern w:val="20"/>
          <w:sz w:val="24"/>
        </w:rPr>
        <w:t>24</w:t>
      </w:r>
      <w:r>
        <w:rPr>
          <w:rFonts w:ascii="Times New Roman" w:eastAsia="宋体" w:hAnsi="Times New Roman" w:cs="Times New Roman"/>
          <w:kern w:val="20"/>
          <w:sz w:val="24"/>
        </w:rPr>
        <w:t>小时）。通过</w:t>
      </w:r>
      <w:r>
        <w:rPr>
          <w:rFonts w:ascii="Times New Roman" w:eastAsia="宋体" w:hAnsi="Times New Roman" w:cs="Times New Roman" w:hint="eastAsia"/>
          <w:kern w:val="20"/>
          <w:sz w:val="24"/>
        </w:rPr>
        <w:t>视觉模拟</w:t>
      </w:r>
      <w:r>
        <w:rPr>
          <w:rFonts w:ascii="Times New Roman" w:eastAsia="宋体" w:hAnsi="Times New Roman" w:cs="Times New Roman"/>
          <w:kern w:val="20"/>
          <w:sz w:val="24"/>
        </w:rPr>
        <w:t>评分法（</w:t>
      </w:r>
      <w:r>
        <w:rPr>
          <w:rFonts w:ascii="Times New Roman" w:eastAsia="宋体" w:hAnsi="Times New Roman" w:cs="Times New Roman" w:hint="eastAsia"/>
          <w:kern w:val="20"/>
          <w:sz w:val="24"/>
        </w:rPr>
        <w:t>VAS</w:t>
      </w:r>
      <w:r>
        <w:rPr>
          <w:rFonts w:ascii="Times New Roman" w:eastAsia="宋体" w:hAnsi="Times New Roman" w:cs="Times New Roman"/>
          <w:kern w:val="20"/>
          <w:sz w:val="24"/>
        </w:rPr>
        <w:t>）每</w:t>
      </w:r>
      <w:r>
        <w:rPr>
          <w:rFonts w:ascii="Times New Roman" w:eastAsia="宋体" w:hAnsi="Times New Roman" w:cs="Times New Roman"/>
          <w:kern w:val="20"/>
          <w:sz w:val="24"/>
        </w:rPr>
        <w:t>2</w:t>
      </w:r>
      <w:r>
        <w:rPr>
          <w:rFonts w:ascii="Times New Roman" w:eastAsia="宋体" w:hAnsi="Times New Roman" w:cs="Times New Roman"/>
          <w:kern w:val="20"/>
          <w:sz w:val="24"/>
        </w:rPr>
        <w:t>小时动态评估，若</w:t>
      </w:r>
      <w:r>
        <w:rPr>
          <w:rFonts w:ascii="Times New Roman" w:eastAsia="宋体" w:hAnsi="Times New Roman" w:cs="Times New Roman" w:hint="eastAsia"/>
          <w:kern w:val="20"/>
          <w:sz w:val="24"/>
        </w:rPr>
        <w:t>VAS</w:t>
      </w:r>
      <w:r>
        <w:rPr>
          <w:rFonts w:ascii="Times New Roman" w:eastAsia="宋体" w:hAnsi="Times New Roman" w:cs="Times New Roman"/>
          <w:kern w:val="20"/>
          <w:sz w:val="24"/>
        </w:rPr>
        <w:t>≥4</w:t>
      </w:r>
      <w:r>
        <w:rPr>
          <w:rFonts w:ascii="Times New Roman" w:eastAsia="宋体" w:hAnsi="Times New Roman" w:cs="Times New Roman"/>
          <w:kern w:val="20"/>
          <w:sz w:val="24"/>
        </w:rPr>
        <w:t>分则启动阶梯式备用镇痛方案（如弱阿片类药物），同时辅以音乐疗愈等非药物干预，实现药物</w:t>
      </w:r>
      <w:r>
        <w:rPr>
          <w:rFonts w:ascii="Times New Roman" w:eastAsia="宋体" w:hAnsi="Times New Roman" w:cs="Times New Roman" w:hint="eastAsia"/>
          <w:kern w:val="20"/>
          <w:sz w:val="24"/>
        </w:rPr>
        <w:t>—</w:t>
      </w:r>
      <w:r>
        <w:rPr>
          <w:rFonts w:ascii="Times New Roman" w:eastAsia="宋体" w:hAnsi="Times New Roman" w:cs="Times New Roman"/>
          <w:kern w:val="20"/>
          <w:sz w:val="24"/>
        </w:rPr>
        <w:t>物理</w:t>
      </w:r>
      <w:r>
        <w:rPr>
          <w:rFonts w:ascii="Times New Roman" w:eastAsia="宋体" w:hAnsi="Times New Roman" w:cs="Times New Roman" w:hint="eastAsia"/>
          <w:kern w:val="20"/>
          <w:sz w:val="24"/>
        </w:rPr>
        <w:t>—</w:t>
      </w:r>
      <w:r>
        <w:rPr>
          <w:rFonts w:ascii="Times New Roman" w:eastAsia="宋体" w:hAnsi="Times New Roman" w:cs="Times New Roman"/>
          <w:kern w:val="20"/>
          <w:sz w:val="24"/>
        </w:rPr>
        <w:t>心理协同管理。</w:t>
      </w:r>
    </w:p>
    <w:p w14:paraId="12376D63" w14:textId="77777777" w:rsidR="0029401A" w:rsidRDefault="00000000">
      <w:pPr>
        <w:spacing w:line="360" w:lineRule="auto"/>
        <w:ind w:firstLineChars="200" w:firstLine="480"/>
        <w:rPr>
          <w:rFonts w:ascii="Times New Roman" w:eastAsia="宋体" w:hAnsi="Times New Roman" w:cs="Times New Roman"/>
          <w:kern w:val="20"/>
          <w:sz w:val="24"/>
        </w:rPr>
      </w:pPr>
      <w:r>
        <w:rPr>
          <w:rFonts w:ascii="Times New Roman" w:eastAsia="宋体" w:hAnsi="Times New Roman" w:cs="Times New Roman"/>
          <w:kern w:val="20"/>
          <w:sz w:val="24"/>
        </w:rPr>
        <w:t>②</w:t>
      </w:r>
      <w:r>
        <w:rPr>
          <w:rFonts w:ascii="Times New Roman" w:eastAsia="宋体" w:hAnsi="Times New Roman" w:cs="Times New Roman"/>
          <w:kern w:val="20"/>
          <w:sz w:val="24"/>
        </w:rPr>
        <w:t>早期活动：术后</w:t>
      </w:r>
      <w:r>
        <w:rPr>
          <w:rFonts w:ascii="Times New Roman" w:eastAsia="宋体" w:hAnsi="Times New Roman" w:cs="Times New Roman"/>
          <w:kern w:val="20"/>
          <w:sz w:val="24"/>
        </w:rPr>
        <w:t>6</w:t>
      </w:r>
      <w:r>
        <w:rPr>
          <w:rFonts w:ascii="Times New Roman" w:eastAsia="宋体" w:hAnsi="Times New Roman" w:cs="Times New Roman"/>
          <w:kern w:val="20"/>
          <w:sz w:val="24"/>
        </w:rPr>
        <w:t>小时起，在护理人员严密监护下，协助患者完成床边站立训练：先协助患者缓慢取侧卧位，保持</w:t>
      </w:r>
      <w:r>
        <w:rPr>
          <w:rFonts w:ascii="Times New Roman" w:eastAsia="宋体" w:hAnsi="Times New Roman" w:cs="Times New Roman"/>
          <w:kern w:val="20"/>
          <w:sz w:val="24"/>
        </w:rPr>
        <w:t>1-2</w:t>
      </w:r>
      <w:r>
        <w:rPr>
          <w:rFonts w:ascii="Times New Roman" w:eastAsia="宋体" w:hAnsi="Times New Roman" w:cs="Times New Roman"/>
          <w:kern w:val="20"/>
          <w:sz w:val="24"/>
        </w:rPr>
        <w:t>分钟；再协助其从侧卧位缓慢坐起，保持坐位</w:t>
      </w:r>
      <w:r>
        <w:rPr>
          <w:rFonts w:ascii="Times New Roman" w:eastAsia="宋体" w:hAnsi="Times New Roman" w:cs="Times New Roman"/>
          <w:kern w:val="20"/>
          <w:sz w:val="24"/>
        </w:rPr>
        <w:t>3-5</w:t>
      </w:r>
      <w:r>
        <w:rPr>
          <w:rFonts w:ascii="Times New Roman" w:eastAsia="宋体" w:hAnsi="Times New Roman" w:cs="Times New Roman"/>
          <w:kern w:val="20"/>
          <w:sz w:val="24"/>
        </w:rPr>
        <w:t>分钟；接着协助患者双手扶床边，慢慢撑起身体至站立，保持</w:t>
      </w:r>
      <w:r>
        <w:rPr>
          <w:rFonts w:ascii="Times New Roman" w:eastAsia="宋体" w:hAnsi="Times New Roman" w:cs="Times New Roman"/>
          <w:kern w:val="20"/>
          <w:sz w:val="24"/>
        </w:rPr>
        <w:t>1</w:t>
      </w:r>
      <w:r>
        <w:rPr>
          <w:rFonts w:ascii="Times New Roman" w:eastAsia="宋体" w:hAnsi="Times New Roman" w:cs="Times New Roman"/>
          <w:kern w:val="20"/>
          <w:sz w:val="24"/>
        </w:rPr>
        <w:t>分钟。全程观察患者有无头晕、心慌、眼花等不适，监测血压和心率，若患者不适立即协助其坐下或躺下，抬高下肢促进血液回流，给予吸氧，暂停活动，待症状缓解后继续。</w:t>
      </w:r>
      <w:r>
        <w:rPr>
          <w:rFonts w:ascii="Times New Roman" w:eastAsia="宋体" w:hAnsi="Times New Roman" w:cs="Times New Roman" w:hint="eastAsia"/>
          <w:kern w:val="20"/>
          <w:sz w:val="24"/>
        </w:rPr>
        <w:t>患者</w:t>
      </w:r>
      <w:r>
        <w:rPr>
          <w:rFonts w:ascii="Times New Roman" w:eastAsia="宋体" w:hAnsi="Times New Roman" w:cs="Times New Roman"/>
          <w:kern w:val="20"/>
          <w:sz w:val="24"/>
        </w:rPr>
        <w:t>完成后给予正向激励，如</w:t>
      </w:r>
      <w:r>
        <w:rPr>
          <w:rFonts w:ascii="Times New Roman" w:eastAsia="宋体" w:hAnsi="Times New Roman" w:cs="Times New Roman" w:hint="eastAsia"/>
          <w:kern w:val="20"/>
          <w:sz w:val="24"/>
        </w:rPr>
        <w:t>“</w:t>
      </w:r>
      <w:r>
        <w:rPr>
          <w:rFonts w:ascii="Times New Roman" w:eastAsia="宋体" w:hAnsi="Times New Roman" w:cs="Times New Roman"/>
          <w:kern w:val="20"/>
          <w:sz w:val="24"/>
        </w:rPr>
        <w:t>恭喜完成康复第一步，表现出色</w:t>
      </w:r>
      <w:r>
        <w:rPr>
          <w:rFonts w:ascii="Times New Roman" w:eastAsia="宋体" w:hAnsi="Times New Roman" w:cs="Times New Roman" w:hint="eastAsia"/>
          <w:kern w:val="20"/>
          <w:sz w:val="24"/>
        </w:rPr>
        <w:t>”</w:t>
      </w:r>
      <w:r>
        <w:rPr>
          <w:rFonts w:ascii="Times New Roman" w:eastAsia="宋体" w:hAnsi="Times New Roman" w:cs="Times New Roman"/>
          <w:kern w:val="20"/>
          <w:sz w:val="24"/>
        </w:rPr>
        <w:t>。术后</w:t>
      </w:r>
      <w:r>
        <w:rPr>
          <w:rFonts w:ascii="Times New Roman" w:eastAsia="宋体" w:hAnsi="Times New Roman" w:cs="Times New Roman"/>
          <w:kern w:val="20"/>
          <w:sz w:val="24"/>
        </w:rPr>
        <w:t>8</w:t>
      </w:r>
      <w:r>
        <w:rPr>
          <w:rFonts w:ascii="Times New Roman" w:eastAsia="宋体" w:hAnsi="Times New Roman" w:cs="Times New Roman"/>
          <w:kern w:val="20"/>
          <w:sz w:val="24"/>
        </w:rPr>
        <w:t>小时内，专职护士全程陪同首次步行训练，患者沿病房地面预先标注路线行进，根据达成距离给予阶段性鼓励，如</w:t>
      </w:r>
      <w:r>
        <w:rPr>
          <w:rFonts w:ascii="Times New Roman" w:eastAsia="宋体" w:hAnsi="Times New Roman" w:cs="Times New Roman" w:hint="eastAsia"/>
          <w:kern w:val="20"/>
          <w:sz w:val="24"/>
        </w:rPr>
        <w:t>“</w:t>
      </w:r>
      <w:r>
        <w:rPr>
          <w:rFonts w:ascii="Times New Roman" w:eastAsia="宋体" w:hAnsi="Times New Roman" w:cs="Times New Roman"/>
          <w:kern w:val="20"/>
          <w:sz w:val="24"/>
        </w:rPr>
        <w:t>已完成</w:t>
      </w:r>
      <w:r>
        <w:rPr>
          <w:rFonts w:ascii="Times New Roman" w:eastAsia="宋体" w:hAnsi="Times New Roman" w:cs="Times New Roman"/>
          <w:kern w:val="20"/>
          <w:sz w:val="24"/>
        </w:rPr>
        <w:t>5</w:t>
      </w:r>
      <w:r>
        <w:rPr>
          <w:rFonts w:ascii="Times New Roman" w:eastAsia="宋体" w:hAnsi="Times New Roman" w:cs="Times New Roman"/>
          <w:kern w:val="20"/>
          <w:sz w:val="24"/>
        </w:rPr>
        <w:t>米行走，恢复进展显著</w:t>
      </w:r>
      <w:r>
        <w:rPr>
          <w:rFonts w:ascii="Times New Roman" w:eastAsia="宋体" w:hAnsi="Times New Roman" w:cs="Times New Roman" w:hint="eastAsia"/>
          <w:kern w:val="20"/>
          <w:sz w:val="24"/>
        </w:rPr>
        <w:t>”</w:t>
      </w:r>
      <w:r>
        <w:rPr>
          <w:rFonts w:ascii="Times New Roman" w:eastAsia="宋体" w:hAnsi="Times New Roman" w:cs="Times New Roman"/>
          <w:kern w:val="20"/>
          <w:sz w:val="24"/>
        </w:rPr>
        <w:t>，全程关注患者耐受性。</w:t>
      </w:r>
    </w:p>
    <w:p w14:paraId="4E665AA6" w14:textId="77777777" w:rsidR="0029401A" w:rsidRDefault="00000000">
      <w:pPr>
        <w:spacing w:line="360" w:lineRule="auto"/>
        <w:rPr>
          <w:rFonts w:ascii="Times New Roman" w:eastAsia="宋体" w:hAnsi="Times New Roman" w:cs="Times New Roman"/>
          <w:b/>
          <w:bCs/>
          <w:kern w:val="20"/>
          <w:sz w:val="24"/>
        </w:rPr>
      </w:pPr>
      <w:r>
        <w:rPr>
          <w:rFonts w:ascii="Times New Roman" w:eastAsia="宋体" w:hAnsi="Times New Roman" w:cs="Times New Roman"/>
          <w:b/>
          <w:bCs/>
          <w:kern w:val="20"/>
          <w:sz w:val="24"/>
        </w:rPr>
        <w:t xml:space="preserve">1.2.2.2 </w:t>
      </w:r>
      <w:r>
        <w:rPr>
          <w:rFonts w:ascii="Times New Roman" w:eastAsia="宋体" w:hAnsi="Times New Roman" w:cs="Times New Roman" w:hint="eastAsia"/>
          <w:b/>
          <w:bCs/>
          <w:kern w:val="20"/>
          <w:sz w:val="24"/>
        </w:rPr>
        <w:t>利益激励</w:t>
      </w:r>
    </w:p>
    <w:p w14:paraId="5675D510" w14:textId="77777777" w:rsidR="0029401A" w:rsidRDefault="00000000">
      <w:pPr>
        <w:spacing w:line="360" w:lineRule="auto"/>
        <w:ind w:firstLineChars="200" w:firstLine="480"/>
        <w:rPr>
          <w:rFonts w:ascii="Times New Roman" w:eastAsiaTheme="majorEastAsia" w:hAnsi="Times New Roman" w:cs="Times New Roman"/>
          <w:bCs/>
          <w:sz w:val="24"/>
        </w:rPr>
      </w:pPr>
      <w:r>
        <w:rPr>
          <w:rFonts w:ascii="Times New Roman" w:eastAsia="宋体" w:hAnsi="Times New Roman" w:cs="Times New Roman"/>
          <w:kern w:val="20"/>
          <w:sz w:val="24"/>
        </w:rPr>
        <w:t>①</w:t>
      </w:r>
      <w:r>
        <w:rPr>
          <w:rFonts w:ascii="Times New Roman" w:eastAsia="宋体" w:hAnsi="Times New Roman" w:cs="Times New Roman" w:hint="eastAsia"/>
          <w:kern w:val="20"/>
          <w:sz w:val="24"/>
        </w:rPr>
        <w:t>目标分层与可视化追踪</w:t>
      </w:r>
      <w:r>
        <w:rPr>
          <w:rFonts w:ascii="Times New Roman" w:eastAsia="宋体" w:hAnsi="Times New Roman" w:cs="Times New Roman"/>
          <w:kern w:val="20"/>
          <w:sz w:val="24"/>
        </w:rPr>
        <w:t>：术后第</w:t>
      </w:r>
      <w:r>
        <w:rPr>
          <w:rFonts w:ascii="Times New Roman" w:eastAsia="宋体" w:hAnsi="Times New Roman" w:cs="Times New Roman" w:hint="eastAsia"/>
          <w:kern w:val="20"/>
          <w:sz w:val="24"/>
        </w:rPr>
        <w:t>1</w:t>
      </w:r>
      <w:r>
        <w:rPr>
          <w:rFonts w:ascii="Times New Roman" w:eastAsia="宋体" w:hAnsi="Times New Roman" w:cs="Times New Roman"/>
          <w:kern w:val="20"/>
          <w:sz w:val="24"/>
        </w:rPr>
        <w:t>日，护士指导患者开展间歇性导尿管夹闭训练，即每</w:t>
      </w:r>
      <w:r>
        <w:rPr>
          <w:rFonts w:ascii="Times New Roman" w:eastAsia="宋体" w:hAnsi="Times New Roman" w:cs="Times New Roman" w:hint="eastAsia"/>
          <w:kern w:val="20"/>
          <w:sz w:val="24"/>
        </w:rPr>
        <w:t>2</w:t>
      </w:r>
      <w:r>
        <w:rPr>
          <w:rFonts w:ascii="Times New Roman" w:eastAsia="宋体" w:hAnsi="Times New Roman" w:cs="Times New Roman"/>
          <w:kern w:val="20"/>
          <w:sz w:val="24"/>
        </w:rPr>
        <w:t>小时开放导尿管</w:t>
      </w:r>
      <w:r>
        <w:rPr>
          <w:rFonts w:ascii="Times New Roman" w:eastAsia="宋体" w:hAnsi="Times New Roman" w:cs="Times New Roman" w:hint="eastAsia"/>
          <w:kern w:val="20"/>
          <w:sz w:val="24"/>
        </w:rPr>
        <w:t>10</w:t>
      </w:r>
      <w:r>
        <w:rPr>
          <w:rFonts w:ascii="Times New Roman" w:eastAsia="宋体" w:hAnsi="Times New Roman" w:cs="Times New Roman"/>
          <w:kern w:val="20"/>
          <w:sz w:val="24"/>
        </w:rPr>
        <w:t>分钟，以此模拟膀胱的充盈</w:t>
      </w:r>
      <w:r>
        <w:rPr>
          <w:rFonts w:ascii="Times New Roman" w:eastAsia="宋体" w:hAnsi="Times New Roman" w:cs="Times New Roman" w:hint="eastAsia"/>
          <w:kern w:val="20"/>
          <w:sz w:val="24"/>
        </w:rPr>
        <w:t>—</w:t>
      </w:r>
      <w:r>
        <w:rPr>
          <w:rFonts w:ascii="Times New Roman" w:eastAsia="宋体" w:hAnsi="Times New Roman" w:cs="Times New Roman"/>
          <w:kern w:val="20"/>
          <w:sz w:val="24"/>
        </w:rPr>
        <w:t>排空周期，推动逼尿肌收缩功能逐步恢复</w:t>
      </w:r>
      <w:r>
        <w:rPr>
          <w:rFonts w:ascii="Times New Roman" w:eastAsia="宋体" w:hAnsi="Times New Roman" w:cs="Times New Roman"/>
          <w:sz w:val="24"/>
          <w:vertAlign w:val="superscript"/>
        </w:rPr>
        <w:t>[</w:t>
      </w:r>
      <w:r>
        <w:rPr>
          <w:rFonts w:ascii="Times New Roman" w:eastAsia="宋体" w:hAnsi="Times New Roman" w:cs="Times New Roman" w:hint="eastAsia"/>
          <w:sz w:val="24"/>
          <w:vertAlign w:val="superscript"/>
        </w:rPr>
        <w:t>5</w:t>
      </w:r>
      <w:r>
        <w:rPr>
          <w:rFonts w:ascii="Times New Roman" w:eastAsia="宋体" w:hAnsi="Times New Roman" w:cs="Times New Roman"/>
          <w:sz w:val="24"/>
          <w:vertAlign w:val="superscript"/>
        </w:rPr>
        <w:t>]</w:t>
      </w:r>
      <w:r>
        <w:rPr>
          <w:rFonts w:ascii="Times New Roman" w:eastAsia="宋体" w:hAnsi="Times New Roman" w:cs="Times New Roman"/>
          <w:kern w:val="20"/>
          <w:sz w:val="24"/>
        </w:rPr>
        <w:t>。</w:t>
      </w:r>
      <w:r>
        <w:rPr>
          <w:rFonts w:ascii="Times New Roman" w:eastAsia="宋体" w:hAnsi="Times New Roman" w:cs="Times New Roman" w:hint="eastAsia"/>
          <w:kern w:val="20"/>
          <w:sz w:val="24"/>
        </w:rPr>
        <w:t>同时进行盆底肌训练如每天</w:t>
      </w:r>
      <w:r>
        <w:rPr>
          <w:rFonts w:ascii="Times New Roman" w:eastAsia="宋体" w:hAnsi="Times New Roman" w:cs="Times New Roman" w:hint="eastAsia"/>
          <w:kern w:val="20"/>
          <w:sz w:val="24"/>
        </w:rPr>
        <w:t>6</w:t>
      </w:r>
      <w:r>
        <w:rPr>
          <w:rFonts w:ascii="Times New Roman" w:eastAsia="宋体" w:hAnsi="Times New Roman" w:cs="Times New Roman" w:hint="eastAsia"/>
          <w:kern w:val="20"/>
          <w:sz w:val="24"/>
        </w:rPr>
        <w:t>组站立训练，增强盆底肌的力量和耐力，以防止术后尿失禁的发生。</w:t>
      </w:r>
      <w:r>
        <w:rPr>
          <w:rFonts w:ascii="Times New Roman" w:eastAsia="宋体" w:hAnsi="Times New Roman" w:cs="Times New Roman"/>
          <w:kern w:val="20"/>
          <w:sz w:val="24"/>
        </w:rPr>
        <w:t>进入术后第</w:t>
      </w:r>
      <w:r>
        <w:rPr>
          <w:rFonts w:ascii="Times New Roman" w:eastAsia="宋体" w:hAnsi="Times New Roman" w:cs="Times New Roman" w:hint="eastAsia"/>
          <w:kern w:val="20"/>
          <w:sz w:val="24"/>
        </w:rPr>
        <w:t>2</w:t>
      </w:r>
      <w:r>
        <w:rPr>
          <w:rFonts w:ascii="Times New Roman" w:eastAsia="宋体" w:hAnsi="Times New Roman" w:cs="Times New Roman"/>
          <w:kern w:val="20"/>
          <w:sz w:val="24"/>
        </w:rPr>
        <w:t>周，依照计划拔除导尿管，并观察患者自主排尿情况。参考国际</w:t>
      </w:r>
      <w:r>
        <w:rPr>
          <w:rFonts w:ascii="Times New Roman" w:eastAsia="宋体" w:hAnsi="Times New Roman" w:cs="Times New Roman" w:hint="eastAsia"/>
          <w:kern w:val="20"/>
          <w:sz w:val="24"/>
        </w:rPr>
        <w:t>控尿</w:t>
      </w:r>
      <w:r>
        <w:rPr>
          <w:rFonts w:ascii="Times New Roman" w:eastAsia="宋体" w:hAnsi="Times New Roman" w:cs="Times New Roman"/>
          <w:kern w:val="20"/>
          <w:sz w:val="24"/>
        </w:rPr>
        <w:t>协会</w:t>
      </w:r>
      <w:r>
        <w:rPr>
          <w:rFonts w:ascii="Times New Roman" w:eastAsia="宋体" w:hAnsi="Times New Roman" w:cs="Times New Roman"/>
          <w:kern w:val="20"/>
          <w:sz w:val="24"/>
        </w:rPr>
        <w:t>2021</w:t>
      </w:r>
      <w:r>
        <w:rPr>
          <w:rFonts w:ascii="Times New Roman" w:eastAsia="宋体" w:hAnsi="Times New Roman" w:cs="Times New Roman"/>
          <w:kern w:val="20"/>
          <w:sz w:val="24"/>
        </w:rPr>
        <w:t>年发布的</w:t>
      </w:r>
      <w:r>
        <w:rPr>
          <w:rFonts w:ascii="Times New Roman" w:eastAsiaTheme="majorEastAsia" w:hAnsi="Times New Roman" w:cs="Times New Roman"/>
          <w:bCs/>
          <w:sz w:val="24"/>
        </w:rPr>
        <w:t>《</w:t>
      </w:r>
      <w:r>
        <w:rPr>
          <w:rFonts w:ascii="Times New Roman" w:eastAsiaTheme="majorEastAsia" w:hAnsi="Times New Roman" w:cs="Times New Roman" w:hint="eastAsia"/>
          <w:bCs/>
          <w:sz w:val="24"/>
        </w:rPr>
        <w:t>成人</w:t>
      </w:r>
      <w:r>
        <w:rPr>
          <w:rFonts w:ascii="Times New Roman" w:eastAsiaTheme="majorEastAsia" w:hAnsi="Times New Roman" w:cs="Times New Roman"/>
          <w:bCs/>
          <w:sz w:val="24"/>
        </w:rPr>
        <w:t>神经源性下尿路功能障碍管理指南》，明确了术后首次自主排尿的标准：拔管后</w:t>
      </w:r>
      <w:r>
        <w:rPr>
          <w:rFonts w:ascii="Times New Roman" w:eastAsiaTheme="majorEastAsia" w:hAnsi="Times New Roman" w:cs="Times New Roman" w:hint="eastAsia"/>
          <w:bCs/>
          <w:sz w:val="24"/>
        </w:rPr>
        <w:t>1</w:t>
      </w:r>
      <w:r>
        <w:rPr>
          <w:rFonts w:ascii="Times New Roman" w:eastAsiaTheme="majorEastAsia" w:hAnsi="Times New Roman" w:cs="Times New Roman"/>
          <w:bCs/>
          <w:sz w:val="24"/>
        </w:rPr>
        <w:t>小时内自解小便量达</w:t>
      </w:r>
      <w:r>
        <w:rPr>
          <w:rFonts w:ascii="Times New Roman" w:eastAsiaTheme="majorEastAsia" w:hAnsi="Times New Roman" w:cs="Times New Roman"/>
          <w:bCs/>
          <w:sz w:val="24"/>
        </w:rPr>
        <w:t xml:space="preserve"> 100ml </w:t>
      </w:r>
      <w:r>
        <w:rPr>
          <w:rFonts w:ascii="Times New Roman" w:eastAsiaTheme="majorEastAsia" w:hAnsi="Times New Roman" w:cs="Times New Roman"/>
          <w:bCs/>
          <w:sz w:val="24"/>
        </w:rPr>
        <w:t>及以上且残余尿量低</w:t>
      </w:r>
      <w:r>
        <w:rPr>
          <w:rFonts w:ascii="Times New Roman" w:eastAsiaTheme="majorEastAsia" w:hAnsi="Times New Roman" w:cs="Times New Roman" w:hint="eastAsia"/>
          <w:bCs/>
          <w:sz w:val="24"/>
        </w:rPr>
        <w:t>于</w:t>
      </w:r>
      <w:r>
        <w:rPr>
          <w:rFonts w:ascii="Times New Roman" w:eastAsiaTheme="majorEastAsia" w:hAnsi="Times New Roman" w:cs="Times New Roman"/>
          <w:bCs/>
          <w:sz w:val="24"/>
        </w:rPr>
        <w:t>50ml</w:t>
      </w:r>
      <w:r>
        <w:rPr>
          <w:rFonts w:ascii="Times New Roman" w:eastAsia="宋体" w:hAnsi="Times New Roman" w:cs="Times New Roman"/>
          <w:sz w:val="24"/>
          <w:vertAlign w:val="superscript"/>
        </w:rPr>
        <w:t>[</w:t>
      </w:r>
      <w:r>
        <w:rPr>
          <w:rFonts w:ascii="Times New Roman" w:eastAsia="宋体" w:hAnsi="Times New Roman" w:cs="Times New Roman" w:hint="eastAsia"/>
          <w:sz w:val="24"/>
          <w:vertAlign w:val="superscript"/>
        </w:rPr>
        <w:t>6</w:t>
      </w:r>
      <w:r>
        <w:rPr>
          <w:rFonts w:ascii="Times New Roman" w:eastAsia="宋体" w:hAnsi="Times New Roman" w:cs="Times New Roman"/>
          <w:sz w:val="24"/>
          <w:vertAlign w:val="superscript"/>
        </w:rPr>
        <w:t>]</w:t>
      </w:r>
      <w:r>
        <w:rPr>
          <w:rFonts w:ascii="Times New Roman" w:eastAsiaTheme="majorEastAsia" w:hAnsi="Times New Roman" w:cs="Times New Roman"/>
          <w:bCs/>
          <w:sz w:val="24"/>
        </w:rPr>
        <w:t>。同时，设定了初级目标，即拔除尿管后</w:t>
      </w:r>
      <w:r>
        <w:rPr>
          <w:rFonts w:ascii="Times New Roman" w:eastAsiaTheme="majorEastAsia" w:hAnsi="Times New Roman" w:cs="Times New Roman"/>
          <w:bCs/>
          <w:sz w:val="24"/>
        </w:rPr>
        <w:t>1</w:t>
      </w:r>
      <w:r>
        <w:rPr>
          <w:rFonts w:ascii="Times New Roman" w:eastAsiaTheme="majorEastAsia" w:hAnsi="Times New Roman" w:cs="Times New Roman"/>
          <w:bCs/>
          <w:sz w:val="24"/>
        </w:rPr>
        <w:t>小时内能自解小便、每日自主排尿次数大于等于</w:t>
      </w:r>
      <w:r>
        <w:rPr>
          <w:rFonts w:ascii="Times New Roman" w:eastAsiaTheme="majorEastAsia" w:hAnsi="Times New Roman" w:cs="Times New Roman" w:hint="eastAsia"/>
          <w:bCs/>
          <w:sz w:val="24"/>
        </w:rPr>
        <w:t>5</w:t>
      </w:r>
      <w:r>
        <w:rPr>
          <w:rFonts w:ascii="Times New Roman" w:eastAsiaTheme="majorEastAsia" w:hAnsi="Times New Roman" w:cs="Times New Roman"/>
          <w:bCs/>
          <w:sz w:val="24"/>
        </w:rPr>
        <w:t>次、单次尿量大于</w:t>
      </w:r>
      <w:r>
        <w:rPr>
          <w:rFonts w:ascii="Times New Roman" w:eastAsiaTheme="majorEastAsia" w:hAnsi="Times New Roman" w:cs="Times New Roman"/>
          <w:bCs/>
          <w:sz w:val="24"/>
        </w:rPr>
        <w:t>100ml</w:t>
      </w:r>
      <w:r>
        <w:rPr>
          <w:rFonts w:ascii="Times New Roman" w:eastAsiaTheme="majorEastAsia" w:hAnsi="Times New Roman" w:cs="Times New Roman"/>
          <w:bCs/>
          <w:sz w:val="24"/>
        </w:rPr>
        <w:t>；进阶目标则为连续三天单次尿量超过</w:t>
      </w:r>
      <w:r>
        <w:rPr>
          <w:rFonts w:ascii="Times New Roman" w:eastAsiaTheme="majorEastAsia" w:hAnsi="Times New Roman" w:cs="Times New Roman"/>
          <w:bCs/>
          <w:sz w:val="24"/>
        </w:rPr>
        <w:t>200ml</w:t>
      </w:r>
      <w:r>
        <w:rPr>
          <w:rFonts w:ascii="Times New Roman" w:eastAsiaTheme="majorEastAsia" w:hAnsi="Times New Roman" w:cs="Times New Roman"/>
          <w:bCs/>
          <w:sz w:val="24"/>
        </w:rPr>
        <w:t>，对于达成进阶目标的患者，授予</w:t>
      </w:r>
      <w:r>
        <w:rPr>
          <w:rFonts w:ascii="Times New Roman" w:eastAsiaTheme="majorEastAsia" w:hAnsi="Times New Roman" w:cs="Times New Roman"/>
          <w:bCs/>
          <w:sz w:val="24"/>
        </w:rPr>
        <w:t xml:space="preserve"> </w:t>
      </w:r>
      <w:r>
        <w:rPr>
          <w:rFonts w:ascii="Times New Roman" w:eastAsiaTheme="majorEastAsia" w:hAnsi="Times New Roman" w:cs="Times New Roman" w:hint="eastAsia"/>
          <w:bCs/>
          <w:sz w:val="24"/>
        </w:rPr>
        <w:t>“</w:t>
      </w:r>
      <w:r>
        <w:rPr>
          <w:rFonts w:ascii="Times New Roman" w:eastAsiaTheme="majorEastAsia" w:hAnsi="Times New Roman" w:cs="Times New Roman"/>
          <w:bCs/>
          <w:sz w:val="24"/>
        </w:rPr>
        <w:t>排尿达人</w:t>
      </w:r>
      <w:r>
        <w:rPr>
          <w:rFonts w:ascii="Times New Roman" w:eastAsiaTheme="majorEastAsia" w:hAnsi="Times New Roman" w:cs="Times New Roman" w:hint="eastAsia"/>
          <w:bCs/>
          <w:sz w:val="24"/>
        </w:rPr>
        <w:t>”</w:t>
      </w:r>
      <w:r>
        <w:rPr>
          <w:rFonts w:ascii="Times New Roman" w:eastAsiaTheme="majorEastAsia" w:hAnsi="Times New Roman" w:cs="Times New Roman"/>
          <w:bCs/>
          <w:sz w:val="24"/>
        </w:rPr>
        <w:t>称号以示表彰。在康复过程中，借助排尿日</w:t>
      </w:r>
      <w:r>
        <w:rPr>
          <w:rFonts w:ascii="Times New Roman" w:eastAsiaTheme="majorEastAsia" w:hAnsi="Times New Roman" w:cs="Times New Roman"/>
          <w:bCs/>
          <w:sz w:val="24"/>
        </w:rPr>
        <w:lastRenderedPageBreak/>
        <w:t>记进行记录，系统据此自动生成</w:t>
      </w:r>
      <w:r>
        <w:rPr>
          <w:rFonts w:ascii="Times New Roman" w:eastAsiaTheme="majorEastAsia" w:hAnsi="Times New Roman" w:cs="Times New Roman"/>
          <w:bCs/>
          <w:sz w:val="24"/>
        </w:rPr>
        <w:t>24</w:t>
      </w:r>
      <w:r>
        <w:rPr>
          <w:rFonts w:ascii="Times New Roman" w:eastAsiaTheme="majorEastAsia" w:hAnsi="Times New Roman" w:cs="Times New Roman"/>
          <w:bCs/>
          <w:sz w:val="24"/>
        </w:rPr>
        <w:t>小时尿量分布趋势图以及昼夜排尿频率对比图，从而便于精准量化评估膀胱排空效率和昼夜节律的恢复状况</w:t>
      </w:r>
      <w:r>
        <w:rPr>
          <w:rFonts w:ascii="Times New Roman" w:eastAsia="宋体" w:hAnsi="Times New Roman" w:cs="Times New Roman"/>
          <w:sz w:val="24"/>
          <w:vertAlign w:val="superscript"/>
        </w:rPr>
        <w:t>[</w:t>
      </w:r>
      <w:r>
        <w:rPr>
          <w:rFonts w:ascii="Times New Roman" w:eastAsia="宋体" w:hAnsi="Times New Roman" w:cs="Times New Roman" w:hint="eastAsia"/>
          <w:sz w:val="24"/>
          <w:vertAlign w:val="superscript"/>
        </w:rPr>
        <w:t>7</w:t>
      </w:r>
      <w:r>
        <w:rPr>
          <w:rFonts w:ascii="Times New Roman" w:eastAsia="宋体" w:hAnsi="Times New Roman" w:cs="Times New Roman"/>
          <w:sz w:val="24"/>
          <w:vertAlign w:val="superscript"/>
        </w:rPr>
        <w:t>]</w:t>
      </w:r>
      <w:r>
        <w:rPr>
          <w:rFonts w:ascii="Times New Roman" w:eastAsiaTheme="majorEastAsia" w:hAnsi="Times New Roman" w:cs="Times New Roman"/>
          <w:bCs/>
          <w:sz w:val="24"/>
        </w:rPr>
        <w:t>。</w:t>
      </w:r>
    </w:p>
    <w:p w14:paraId="419E400A" w14:textId="77777777" w:rsidR="0029401A" w:rsidRDefault="00000000">
      <w:pPr>
        <w:spacing w:line="360" w:lineRule="auto"/>
        <w:ind w:firstLineChars="200" w:firstLine="480"/>
        <w:rPr>
          <w:rFonts w:ascii="Times New Roman" w:eastAsia="宋体" w:hAnsi="Times New Roman" w:cs="Times New Roman"/>
          <w:bCs/>
          <w:sz w:val="24"/>
        </w:rPr>
      </w:pPr>
      <w:r>
        <w:rPr>
          <w:rFonts w:ascii="Times New Roman" w:eastAsia="宋体" w:hAnsi="Times New Roman" w:cs="Times New Roman" w:hint="eastAsia"/>
          <w:kern w:val="20"/>
          <w:sz w:val="24"/>
        </w:rPr>
        <w:t>②认知行为干预：</w:t>
      </w:r>
      <w:r>
        <w:rPr>
          <w:rFonts w:ascii="Times New Roman" w:eastAsiaTheme="majorEastAsia" w:hAnsi="Times New Roman" w:cs="Times New Roman"/>
          <w:bCs/>
          <w:sz w:val="24"/>
        </w:rPr>
        <w:t>伴随信息科技的进步，游戏化教育因其教育功能与娱乐属性相融合的特点而兴起，并逐渐成为健康行为干预的有效方法</w:t>
      </w:r>
      <w:r>
        <w:rPr>
          <w:rFonts w:ascii="Times New Roman" w:eastAsiaTheme="majorEastAsia" w:hAnsi="Times New Roman" w:cs="Times New Roman"/>
          <w:bCs/>
          <w:sz w:val="24"/>
          <w:vertAlign w:val="superscript"/>
        </w:rPr>
        <w:t>[8]</w:t>
      </w:r>
      <w:r>
        <w:rPr>
          <w:rFonts w:ascii="Times New Roman" w:eastAsiaTheme="majorEastAsia" w:hAnsi="Times New Roman" w:cs="Times New Roman"/>
          <w:bCs/>
          <w:sz w:val="24"/>
        </w:rPr>
        <w:t>。目前，该模式在糖尿病、癌症、哮喘、艾滋病、脑卒中等患者的健康教育实践中得到了广泛应用</w:t>
      </w:r>
      <w:r>
        <w:rPr>
          <w:rFonts w:ascii="Times New Roman" w:eastAsiaTheme="majorEastAsia" w:hAnsi="Times New Roman" w:cs="Times New Roman"/>
          <w:bCs/>
          <w:sz w:val="24"/>
          <w:vertAlign w:val="superscript"/>
        </w:rPr>
        <w:t>[9]</w:t>
      </w:r>
      <w:r>
        <w:rPr>
          <w:rFonts w:ascii="Times New Roman" w:eastAsiaTheme="majorEastAsia" w:hAnsi="Times New Roman" w:cs="Times New Roman"/>
          <w:bCs/>
          <w:sz w:val="24"/>
        </w:rPr>
        <w:t>。</w:t>
      </w:r>
      <w:r>
        <w:rPr>
          <w:rFonts w:ascii="Times New Roman" w:eastAsiaTheme="majorEastAsia" w:hAnsi="Times New Roman" w:cs="Times New Roman" w:hint="eastAsia"/>
          <w:bCs/>
          <w:sz w:val="24"/>
        </w:rPr>
        <w:t>本</w:t>
      </w:r>
      <w:r>
        <w:rPr>
          <w:rFonts w:ascii="Times New Roman" w:eastAsiaTheme="majorEastAsia" w:hAnsi="Times New Roman" w:cs="Times New Roman"/>
          <w:bCs/>
          <w:sz w:val="24"/>
        </w:rPr>
        <w:t>研究团队</w:t>
      </w:r>
      <w:r>
        <w:rPr>
          <w:rFonts w:ascii="Times New Roman" w:eastAsiaTheme="majorEastAsia" w:hAnsi="Times New Roman" w:cs="Times New Roman" w:hint="eastAsia"/>
          <w:bCs/>
          <w:sz w:val="24"/>
        </w:rPr>
        <w:t>前期已开发游戏</w:t>
      </w:r>
      <w:r>
        <w:rPr>
          <w:rFonts w:ascii="Times New Roman" w:eastAsiaTheme="majorEastAsia" w:hAnsi="Times New Roman" w:cs="Times New Roman"/>
          <w:bCs/>
          <w:sz w:val="24"/>
        </w:rPr>
        <w:t>题库，内容涵盖前列腺相关的基础知识、</w:t>
      </w:r>
      <w:r>
        <w:rPr>
          <w:rFonts w:ascii="Times New Roman" w:eastAsia="宋体" w:hAnsi="Times New Roman" w:cs="Times New Roman"/>
          <w:bCs/>
          <w:sz w:val="24"/>
        </w:rPr>
        <w:t>专项知识和实践知识。系统根据用户身份（患者</w:t>
      </w:r>
      <w:r>
        <w:rPr>
          <w:rFonts w:ascii="Times New Roman" w:eastAsia="宋体" w:hAnsi="Times New Roman" w:cs="Times New Roman" w:hint="eastAsia"/>
          <w:bCs/>
          <w:sz w:val="24"/>
        </w:rPr>
        <w:t>/</w:t>
      </w:r>
      <w:r>
        <w:rPr>
          <w:rFonts w:ascii="Times New Roman" w:eastAsia="宋体" w:hAnsi="Times New Roman" w:cs="Times New Roman"/>
          <w:bCs/>
          <w:sz w:val="24"/>
        </w:rPr>
        <w:t>照顾者）推送差异性内容，推送给患者的内容侧重健康自我管理，如用药护理和症状监测、识别。推送给照顾者的内容侧重照护技能如并发症的观察、心理支持，实现知识的精准匹配。单次答题</w:t>
      </w:r>
      <w:r>
        <w:rPr>
          <w:rFonts w:ascii="Times New Roman" w:eastAsia="宋体" w:hAnsi="Times New Roman" w:cs="Times New Roman" w:hint="eastAsia"/>
          <w:bCs/>
          <w:sz w:val="24"/>
        </w:rPr>
        <w:t>闯关</w:t>
      </w:r>
      <w:r>
        <w:rPr>
          <w:rFonts w:ascii="Times New Roman" w:eastAsia="宋体" w:hAnsi="Times New Roman" w:cs="Times New Roman"/>
          <w:bCs/>
          <w:sz w:val="24"/>
        </w:rPr>
        <w:t>正确率</w:t>
      </w:r>
      <w:r>
        <w:rPr>
          <w:rFonts w:ascii="Times New Roman" w:eastAsia="宋体" w:hAnsi="Times New Roman" w:cs="Times New Roman"/>
          <w:bCs/>
          <w:sz w:val="24"/>
        </w:rPr>
        <w:t>≥80%</w:t>
      </w:r>
      <w:r>
        <w:rPr>
          <w:rFonts w:ascii="Times New Roman" w:eastAsia="宋体" w:hAnsi="Times New Roman" w:cs="Times New Roman"/>
          <w:bCs/>
          <w:sz w:val="24"/>
        </w:rPr>
        <w:t>触发</w:t>
      </w:r>
      <w:r>
        <w:rPr>
          <w:rFonts w:ascii="Times New Roman" w:eastAsia="宋体" w:hAnsi="Times New Roman" w:cs="Times New Roman" w:hint="eastAsia"/>
          <w:bCs/>
          <w:sz w:val="24"/>
        </w:rPr>
        <w:t>健康宣教</w:t>
      </w:r>
      <w:r>
        <w:rPr>
          <w:rFonts w:ascii="Times New Roman" w:eastAsia="宋体" w:hAnsi="Times New Roman" w:cs="Times New Roman"/>
          <w:bCs/>
          <w:sz w:val="24"/>
        </w:rPr>
        <w:t>视频学习，所有学习视频均为经专家委员会审核的标准化教学视频。</w:t>
      </w:r>
      <w:r>
        <w:rPr>
          <w:rFonts w:ascii="Times New Roman" w:eastAsia="宋体" w:hAnsi="Times New Roman" w:cs="Times New Roman" w:hint="eastAsia"/>
          <w:bCs/>
          <w:sz w:val="24"/>
        </w:rPr>
        <w:t>累计积分可兑换实物奖励如奖状和定制水杯。</w:t>
      </w:r>
    </w:p>
    <w:p w14:paraId="2FF46078" w14:textId="77777777" w:rsidR="0029401A" w:rsidRDefault="00000000">
      <w:pPr>
        <w:spacing w:line="360" w:lineRule="auto"/>
        <w:rPr>
          <w:rFonts w:ascii="Times New Roman" w:eastAsia="宋体" w:hAnsi="Times New Roman" w:cs="Times New Roman"/>
          <w:b/>
          <w:bCs/>
          <w:kern w:val="20"/>
          <w:sz w:val="24"/>
        </w:rPr>
      </w:pPr>
      <w:r>
        <w:rPr>
          <w:rFonts w:ascii="Times New Roman" w:eastAsia="宋体" w:hAnsi="Times New Roman" w:cs="Times New Roman" w:hint="eastAsia"/>
          <w:b/>
          <w:bCs/>
          <w:kern w:val="20"/>
          <w:sz w:val="24"/>
        </w:rPr>
        <w:t xml:space="preserve">1.2.2.3 </w:t>
      </w:r>
      <w:r>
        <w:rPr>
          <w:rFonts w:ascii="Times New Roman" w:eastAsia="宋体" w:hAnsi="Times New Roman" w:cs="Times New Roman" w:hint="eastAsia"/>
          <w:b/>
          <w:bCs/>
          <w:kern w:val="20"/>
          <w:sz w:val="24"/>
        </w:rPr>
        <w:t>情感激励</w:t>
      </w:r>
    </w:p>
    <w:p w14:paraId="4A7B98D7" w14:textId="77777777" w:rsidR="0029401A" w:rsidRDefault="00000000">
      <w:pPr>
        <w:spacing w:line="360" w:lineRule="auto"/>
        <w:ind w:firstLineChars="200" w:firstLine="480"/>
        <w:rPr>
          <w:rFonts w:ascii="Times New Roman" w:eastAsia="宋体" w:hAnsi="Times New Roman" w:cs="Times New Roman"/>
          <w:kern w:val="20"/>
          <w:sz w:val="24"/>
        </w:rPr>
      </w:pPr>
      <w:r>
        <w:rPr>
          <w:rFonts w:ascii="Times New Roman" w:eastAsia="宋体" w:hAnsi="Times New Roman" w:cs="Times New Roman"/>
          <w:kern w:val="20"/>
          <w:sz w:val="24"/>
        </w:rPr>
        <w:t>系统化构建患者的社会支持网络需要家属的深度整合。情感激励作为赋能手段，能有效促进家属从被动到主动的角色转变</w:t>
      </w:r>
      <w:r>
        <w:rPr>
          <w:rFonts w:ascii="Times New Roman" w:eastAsiaTheme="majorEastAsia" w:hAnsi="Times New Roman" w:cs="Times New Roman"/>
          <w:bCs/>
          <w:sz w:val="24"/>
          <w:vertAlign w:val="superscript"/>
        </w:rPr>
        <w:t>[</w:t>
      </w:r>
      <w:r>
        <w:rPr>
          <w:rFonts w:ascii="Times New Roman" w:eastAsiaTheme="majorEastAsia" w:hAnsi="Times New Roman" w:cs="Times New Roman" w:hint="eastAsia"/>
          <w:bCs/>
          <w:sz w:val="24"/>
          <w:vertAlign w:val="superscript"/>
        </w:rPr>
        <w:t>10</w:t>
      </w:r>
      <w:r>
        <w:rPr>
          <w:rFonts w:ascii="Times New Roman" w:eastAsiaTheme="majorEastAsia" w:hAnsi="Times New Roman" w:cs="Times New Roman"/>
          <w:bCs/>
          <w:sz w:val="24"/>
          <w:vertAlign w:val="superscript"/>
        </w:rPr>
        <w:t>]</w:t>
      </w:r>
      <w:r>
        <w:rPr>
          <w:rFonts w:ascii="Times New Roman" w:eastAsia="宋体" w:hAnsi="Times New Roman" w:cs="Times New Roman"/>
          <w:kern w:val="20"/>
          <w:sz w:val="24"/>
        </w:rPr>
        <w:t>。因此，鼓励家属积极主动参与支持系统构建，是提升整体照护效果的关键环节。为落实上述策略，本研究设计了多层次的干预路径：</w:t>
      </w:r>
      <w:r>
        <w:rPr>
          <w:rFonts w:ascii="Times New Roman" w:eastAsia="宋体" w:hAnsi="Times New Roman" w:cs="Times New Roman" w:hint="eastAsia"/>
          <w:kern w:val="20"/>
          <w:sz w:val="24"/>
        </w:rPr>
        <w:t>①</w:t>
      </w:r>
      <w:r>
        <w:rPr>
          <w:rFonts w:ascii="Times New Roman" w:eastAsia="宋体" w:hAnsi="Times New Roman" w:cs="Times New Roman"/>
          <w:kern w:val="20"/>
          <w:sz w:val="24"/>
        </w:rPr>
        <w:t>个性化情感强化：</w:t>
      </w:r>
      <w:r>
        <w:rPr>
          <w:rFonts w:ascii="Times New Roman" w:eastAsia="宋体" w:hAnsi="Times New Roman" w:cs="Times New Roman"/>
          <w:kern w:val="20"/>
          <w:sz w:val="24"/>
        </w:rPr>
        <w:t> </w:t>
      </w:r>
      <w:r>
        <w:rPr>
          <w:rFonts w:ascii="Times New Roman" w:eastAsia="宋体" w:hAnsi="Times New Roman" w:cs="Times New Roman"/>
          <w:kern w:val="20"/>
          <w:sz w:val="24"/>
        </w:rPr>
        <w:t>利用数字化平台，为家属提供工具，向患者定制并发送个性化的鼓励性信息，旨在即时强化患者的积极行为，提升其自我效能感和依从性</w:t>
      </w:r>
      <w:r>
        <w:rPr>
          <w:rFonts w:ascii="Times New Roman" w:eastAsia="宋体" w:hAnsi="Times New Roman" w:cs="Times New Roman" w:hint="eastAsia"/>
          <w:kern w:val="20"/>
          <w:sz w:val="24"/>
        </w:rPr>
        <w:t>。②</w:t>
      </w:r>
      <w:r>
        <w:rPr>
          <w:rFonts w:ascii="Times New Roman" w:eastAsia="宋体" w:hAnsi="Times New Roman" w:cs="Times New Roman"/>
          <w:kern w:val="20"/>
          <w:sz w:val="24"/>
        </w:rPr>
        <w:t>结构化家庭任务协作：设计并分配以家庭为单位的、结构化且可量化的共同康复任务</w:t>
      </w:r>
      <w:r>
        <w:rPr>
          <w:rFonts w:ascii="Times New Roman" w:eastAsia="宋体" w:hAnsi="Times New Roman" w:cs="Times New Roman" w:hint="eastAsia"/>
          <w:kern w:val="20"/>
          <w:sz w:val="24"/>
        </w:rPr>
        <w:t>，如</w:t>
      </w:r>
      <w:r>
        <w:rPr>
          <w:rFonts w:ascii="Times New Roman" w:eastAsia="宋体" w:hAnsi="Times New Roman" w:cs="Times New Roman"/>
          <w:kern w:val="20"/>
          <w:sz w:val="24"/>
        </w:rPr>
        <w:t>每日共同完成一定时长的身体活动。要求家属</w:t>
      </w:r>
      <w:r>
        <w:rPr>
          <w:rFonts w:ascii="Times New Roman" w:eastAsia="宋体" w:hAnsi="Times New Roman" w:cs="Times New Roman" w:hint="eastAsia"/>
          <w:kern w:val="20"/>
          <w:sz w:val="24"/>
        </w:rPr>
        <w:t>通过微信群打卡</w:t>
      </w:r>
      <w:r>
        <w:rPr>
          <w:rFonts w:ascii="Times New Roman" w:eastAsia="宋体" w:hAnsi="Times New Roman" w:cs="Times New Roman"/>
          <w:kern w:val="20"/>
          <w:sz w:val="24"/>
        </w:rPr>
        <w:t>记录并反馈任务完成情况，以促进家属的持续参与、增强患者的行为坚持性，并创造共享的康复体验。</w:t>
      </w:r>
      <w:r>
        <w:rPr>
          <w:rFonts w:ascii="Times New Roman" w:eastAsia="宋体" w:hAnsi="Times New Roman" w:cs="Times New Roman" w:hint="eastAsia"/>
          <w:kern w:val="20"/>
          <w:sz w:val="24"/>
        </w:rPr>
        <w:t>③</w:t>
      </w:r>
      <w:r>
        <w:rPr>
          <w:rFonts w:ascii="Times New Roman" w:eastAsia="宋体" w:hAnsi="Times New Roman" w:cs="Times New Roman"/>
          <w:kern w:val="20"/>
          <w:sz w:val="24"/>
        </w:rPr>
        <w:t>线上社群支持与激励：</w:t>
      </w:r>
      <w:r>
        <w:rPr>
          <w:rFonts w:ascii="Times New Roman" w:eastAsia="宋体" w:hAnsi="Times New Roman" w:cs="Times New Roman"/>
          <w:kern w:val="20"/>
          <w:sz w:val="24"/>
        </w:rPr>
        <w:t> </w:t>
      </w:r>
      <w:r>
        <w:rPr>
          <w:rFonts w:ascii="Times New Roman" w:eastAsia="宋体" w:hAnsi="Times New Roman" w:cs="Times New Roman"/>
          <w:kern w:val="20"/>
          <w:sz w:val="24"/>
        </w:rPr>
        <w:t>建立基于病友及家属的在线支持社区</w:t>
      </w:r>
      <w:r>
        <w:rPr>
          <w:rFonts w:ascii="Times New Roman" w:eastAsia="宋体" w:hAnsi="Times New Roman" w:cs="Times New Roman" w:hint="eastAsia"/>
          <w:kern w:val="20"/>
          <w:sz w:val="24"/>
        </w:rPr>
        <w:t>如微信群</w:t>
      </w:r>
      <w:r>
        <w:rPr>
          <w:rFonts w:ascii="Times New Roman" w:eastAsia="宋体" w:hAnsi="Times New Roman" w:cs="Times New Roman"/>
          <w:kern w:val="20"/>
          <w:sz w:val="24"/>
        </w:rPr>
        <w:t>。在</w:t>
      </w:r>
      <w:r>
        <w:rPr>
          <w:rFonts w:ascii="Times New Roman" w:eastAsia="宋体" w:hAnsi="Times New Roman" w:cs="Times New Roman" w:hint="eastAsia"/>
          <w:kern w:val="20"/>
          <w:sz w:val="24"/>
        </w:rPr>
        <w:t>群</w:t>
      </w:r>
      <w:r>
        <w:rPr>
          <w:rFonts w:ascii="Times New Roman" w:eastAsia="宋体" w:hAnsi="Times New Roman" w:cs="Times New Roman"/>
          <w:kern w:val="20"/>
          <w:sz w:val="24"/>
        </w:rPr>
        <w:t>内实施规律性的互动如每日康复目标打卡，并设立基于目标达成的象征性即时认可机制（如虚拟徽章、荣誉标识），以营造积极的同伴支持氛围，激发良性竞争与合作，增强社会归属感和康复动力。</w:t>
      </w:r>
      <w:r>
        <w:rPr>
          <w:rFonts w:ascii="Times New Roman" w:eastAsia="宋体" w:hAnsi="Times New Roman" w:cs="Times New Roman"/>
          <w:kern w:val="20"/>
          <w:sz w:val="24"/>
        </w:rPr>
        <w:t> </w:t>
      </w:r>
    </w:p>
    <w:p w14:paraId="48FB895B" w14:textId="77777777" w:rsidR="0029401A" w:rsidRDefault="00000000">
      <w:pPr>
        <w:widowControl/>
        <w:spacing w:line="360" w:lineRule="auto"/>
        <w:rPr>
          <w:rFonts w:ascii="Times New Roman" w:eastAsia="宋体" w:hAnsi="Times New Roman" w:cs="Times New Roman"/>
          <w:b/>
          <w:bCs/>
          <w:kern w:val="20"/>
          <w:sz w:val="24"/>
        </w:rPr>
      </w:pPr>
      <w:r>
        <w:rPr>
          <w:rFonts w:ascii="Times New Roman" w:eastAsia="宋体" w:hAnsi="Times New Roman" w:cs="Times New Roman" w:hint="eastAsia"/>
          <w:b/>
          <w:bCs/>
          <w:kern w:val="20"/>
          <w:sz w:val="24"/>
        </w:rPr>
        <w:t xml:space="preserve">1.2.2.4 </w:t>
      </w:r>
      <w:r>
        <w:rPr>
          <w:rFonts w:ascii="Times New Roman" w:eastAsia="宋体" w:hAnsi="Times New Roman" w:cs="Times New Roman" w:hint="eastAsia"/>
          <w:b/>
          <w:bCs/>
          <w:kern w:val="20"/>
          <w:sz w:val="24"/>
        </w:rPr>
        <w:t>榜样激励</w:t>
      </w:r>
    </w:p>
    <w:p w14:paraId="0BDDD84A" w14:textId="77777777" w:rsidR="0029401A" w:rsidRDefault="00000000">
      <w:pPr>
        <w:spacing w:line="360" w:lineRule="auto"/>
        <w:ind w:firstLineChars="200" w:firstLine="480"/>
        <w:rPr>
          <w:rFonts w:ascii="Times New Roman" w:eastAsia="宋体" w:hAnsi="Times New Roman" w:cs="Times New Roman"/>
          <w:kern w:val="20"/>
          <w:sz w:val="24"/>
        </w:rPr>
      </w:pPr>
      <w:r>
        <w:rPr>
          <w:rFonts w:ascii="Times New Roman" w:eastAsia="宋体" w:hAnsi="Times New Roman" w:cs="Times New Roman"/>
          <w:kern w:val="20"/>
          <w:sz w:val="24"/>
        </w:rPr>
        <w:t>为提升患者自我效能感以增强治疗依从性及改善长期预后，本研究建立了一套以积极心理反馈为核心的</w:t>
      </w:r>
      <w:r>
        <w:rPr>
          <w:rFonts w:ascii="Times New Roman" w:eastAsia="宋体" w:hAnsi="Times New Roman" w:cs="Times New Roman" w:hint="eastAsia"/>
          <w:kern w:val="20"/>
          <w:sz w:val="24"/>
        </w:rPr>
        <w:t>榜样</w:t>
      </w:r>
      <w:r>
        <w:rPr>
          <w:rFonts w:ascii="Times New Roman" w:eastAsia="宋体" w:hAnsi="Times New Roman" w:cs="Times New Roman"/>
          <w:kern w:val="20"/>
          <w:sz w:val="24"/>
        </w:rPr>
        <w:t>激励与评估机制。该机制的核心在于构建</w:t>
      </w:r>
      <w:r>
        <w:rPr>
          <w:rFonts w:ascii="Times New Roman" w:eastAsia="宋体" w:hAnsi="Times New Roman" w:cs="Times New Roman" w:hint="eastAsia"/>
          <w:kern w:val="20"/>
          <w:sz w:val="24"/>
        </w:rPr>
        <w:t>“</w:t>
      </w:r>
      <w:r>
        <w:rPr>
          <w:rFonts w:ascii="Times New Roman" w:eastAsia="宋体" w:hAnsi="Times New Roman" w:cs="Times New Roman"/>
          <w:kern w:val="20"/>
          <w:sz w:val="24"/>
        </w:rPr>
        <w:t>评估</w:t>
      </w:r>
      <w:r>
        <w:rPr>
          <w:rFonts w:ascii="Times New Roman" w:eastAsia="宋体" w:hAnsi="Times New Roman" w:cs="Times New Roman" w:hint="eastAsia"/>
          <w:kern w:val="20"/>
          <w:sz w:val="24"/>
        </w:rPr>
        <w:t>—</w:t>
      </w:r>
      <w:r>
        <w:rPr>
          <w:rFonts w:ascii="Times New Roman" w:eastAsia="宋体" w:hAnsi="Times New Roman" w:cs="Times New Roman"/>
          <w:kern w:val="20"/>
          <w:sz w:val="24"/>
        </w:rPr>
        <w:t>反馈</w:t>
      </w:r>
      <w:r>
        <w:rPr>
          <w:rFonts w:ascii="Times New Roman" w:eastAsia="宋体" w:hAnsi="Times New Roman" w:cs="Times New Roman" w:hint="eastAsia"/>
          <w:kern w:val="20"/>
          <w:sz w:val="24"/>
        </w:rPr>
        <w:t>—</w:t>
      </w:r>
      <w:r>
        <w:rPr>
          <w:rFonts w:ascii="Times New Roman" w:eastAsia="宋体" w:hAnsi="Times New Roman" w:cs="Times New Roman"/>
          <w:kern w:val="20"/>
          <w:sz w:val="24"/>
        </w:rPr>
        <w:t>激励</w:t>
      </w:r>
      <w:r>
        <w:rPr>
          <w:rFonts w:ascii="Times New Roman" w:eastAsia="宋体" w:hAnsi="Times New Roman" w:cs="Times New Roman" w:hint="eastAsia"/>
          <w:kern w:val="20"/>
          <w:sz w:val="24"/>
        </w:rPr>
        <w:t>”</w:t>
      </w:r>
      <w:r>
        <w:rPr>
          <w:rFonts w:ascii="Times New Roman" w:eastAsia="宋体" w:hAnsi="Times New Roman" w:cs="Times New Roman"/>
          <w:kern w:val="20"/>
          <w:sz w:val="24"/>
        </w:rPr>
        <w:t>的正向循环</w:t>
      </w:r>
      <w:r>
        <w:rPr>
          <w:rFonts w:ascii="Times New Roman" w:eastAsia="宋体" w:hAnsi="Times New Roman" w:cs="Times New Roman" w:hint="eastAsia"/>
          <w:kern w:val="20"/>
          <w:sz w:val="24"/>
        </w:rPr>
        <w:t>：①</w:t>
      </w:r>
      <w:r>
        <w:rPr>
          <w:rFonts w:ascii="Times New Roman" w:eastAsia="宋体" w:hAnsi="Times New Roman" w:cs="Times New Roman"/>
          <w:kern w:val="20"/>
          <w:sz w:val="24"/>
        </w:rPr>
        <w:t>标准化评估：</w:t>
      </w:r>
      <w:r>
        <w:rPr>
          <w:rFonts w:ascii="Times New Roman" w:eastAsia="宋体" w:hAnsi="Times New Roman" w:cs="Times New Roman"/>
          <w:kern w:val="20"/>
          <w:sz w:val="24"/>
        </w:rPr>
        <w:t> </w:t>
      </w:r>
      <w:r>
        <w:rPr>
          <w:rFonts w:ascii="Times New Roman" w:eastAsia="宋体" w:hAnsi="Times New Roman" w:cs="Times New Roman"/>
          <w:kern w:val="20"/>
          <w:sz w:val="24"/>
        </w:rPr>
        <w:t>由专业护理人员每周及每月进行康复评估，生成结构化</w:t>
      </w:r>
      <w:r>
        <w:rPr>
          <w:rFonts w:ascii="Times New Roman" w:eastAsia="宋体" w:hAnsi="Times New Roman" w:cs="Times New Roman"/>
          <w:kern w:val="20"/>
          <w:sz w:val="24"/>
        </w:rPr>
        <w:t>PDF</w:t>
      </w:r>
      <w:r>
        <w:rPr>
          <w:rFonts w:ascii="Times New Roman" w:eastAsia="宋体" w:hAnsi="Times New Roman" w:cs="Times New Roman"/>
          <w:kern w:val="20"/>
          <w:sz w:val="24"/>
        </w:rPr>
        <w:t>报告，内容涵盖控尿能力、国际前列腺症状评分（</w:t>
      </w:r>
      <w:r>
        <w:rPr>
          <w:rFonts w:ascii="Times New Roman" w:eastAsia="宋体" w:hAnsi="Times New Roman" w:cs="Times New Roman"/>
          <w:kern w:val="20"/>
          <w:sz w:val="24"/>
        </w:rPr>
        <w:t>IPSS</w:t>
      </w:r>
      <w:r>
        <w:rPr>
          <w:rFonts w:ascii="Times New Roman" w:eastAsia="宋体" w:hAnsi="Times New Roman" w:cs="Times New Roman"/>
          <w:kern w:val="20"/>
          <w:sz w:val="24"/>
        </w:rPr>
        <w:t>）、</w:t>
      </w:r>
      <w:r>
        <w:rPr>
          <w:rFonts w:ascii="Times New Roman" w:eastAsia="宋体" w:hAnsi="Times New Roman" w:cs="Times New Roman"/>
          <w:kern w:val="20"/>
          <w:sz w:val="24"/>
        </w:rPr>
        <w:lastRenderedPageBreak/>
        <w:t>焦虑自评量表（</w:t>
      </w:r>
      <w:r>
        <w:rPr>
          <w:rFonts w:ascii="Times New Roman" w:eastAsia="宋体" w:hAnsi="Times New Roman" w:cs="Times New Roman"/>
          <w:kern w:val="20"/>
          <w:sz w:val="24"/>
        </w:rPr>
        <w:t>SAS</w:t>
      </w:r>
      <w:r>
        <w:rPr>
          <w:rFonts w:ascii="Times New Roman" w:eastAsia="宋体" w:hAnsi="Times New Roman" w:cs="Times New Roman"/>
          <w:kern w:val="20"/>
          <w:sz w:val="24"/>
        </w:rPr>
        <w:t>）评分、抑郁自评量表（</w:t>
      </w:r>
      <w:r>
        <w:rPr>
          <w:rFonts w:ascii="Times New Roman" w:eastAsia="宋体" w:hAnsi="Times New Roman" w:cs="Times New Roman"/>
          <w:kern w:val="20"/>
          <w:sz w:val="24"/>
        </w:rPr>
        <w:t>SDS</w:t>
      </w:r>
      <w:r>
        <w:rPr>
          <w:rFonts w:ascii="Times New Roman" w:eastAsia="宋体" w:hAnsi="Times New Roman" w:cs="Times New Roman"/>
          <w:kern w:val="20"/>
          <w:sz w:val="24"/>
        </w:rPr>
        <w:t>）评分、依从率等量化指标，并突出标注本评估周期内的具体进步点</w:t>
      </w:r>
      <w:r>
        <w:rPr>
          <w:rFonts w:ascii="Times New Roman" w:eastAsia="宋体" w:hAnsi="Times New Roman" w:cs="Times New Roman" w:hint="eastAsia"/>
          <w:kern w:val="20"/>
          <w:sz w:val="24"/>
        </w:rPr>
        <w:t>；②</w:t>
      </w:r>
      <w:r>
        <w:rPr>
          <w:rFonts w:ascii="Times New Roman" w:eastAsia="宋体" w:hAnsi="Times New Roman" w:cs="Times New Roman"/>
          <w:kern w:val="20"/>
          <w:sz w:val="24"/>
        </w:rPr>
        <w:t>个性化积极反馈：</w:t>
      </w:r>
      <w:r>
        <w:rPr>
          <w:rFonts w:ascii="Times New Roman" w:eastAsia="宋体" w:hAnsi="Times New Roman" w:cs="Times New Roman"/>
          <w:kern w:val="20"/>
          <w:sz w:val="24"/>
        </w:rPr>
        <w:t> </w:t>
      </w:r>
      <w:r>
        <w:rPr>
          <w:rFonts w:ascii="Times New Roman" w:eastAsia="宋体" w:hAnsi="Times New Roman" w:cs="Times New Roman"/>
          <w:kern w:val="20"/>
          <w:sz w:val="24"/>
        </w:rPr>
        <w:t>护理组长基于每周评估报告，为每位患者录制约</w:t>
      </w:r>
      <w:r>
        <w:rPr>
          <w:rFonts w:ascii="Times New Roman" w:eastAsia="宋体" w:hAnsi="Times New Roman" w:cs="Times New Roman"/>
          <w:kern w:val="20"/>
          <w:sz w:val="24"/>
        </w:rPr>
        <w:t>1</w:t>
      </w:r>
      <w:r>
        <w:rPr>
          <w:rFonts w:ascii="Times New Roman" w:eastAsia="宋体" w:hAnsi="Times New Roman" w:cs="Times New Roman"/>
          <w:kern w:val="20"/>
          <w:sz w:val="24"/>
        </w:rPr>
        <w:t>分钟的专属语音反馈，结合具体量化数据重点表扬其本周取得的康复突破，强化其康复信心</w:t>
      </w:r>
      <w:r>
        <w:rPr>
          <w:rFonts w:ascii="Times New Roman" w:eastAsia="宋体" w:hAnsi="Times New Roman" w:cs="Times New Roman" w:hint="eastAsia"/>
          <w:kern w:val="20"/>
          <w:sz w:val="24"/>
        </w:rPr>
        <w:t>；③</w:t>
      </w:r>
      <w:r>
        <w:rPr>
          <w:rFonts w:ascii="Times New Roman" w:eastAsia="宋体" w:hAnsi="Times New Roman" w:cs="Times New Roman"/>
          <w:kern w:val="20"/>
          <w:sz w:val="24"/>
        </w:rPr>
        <w:t>同伴激励：</w:t>
      </w:r>
      <w:r>
        <w:rPr>
          <w:rFonts w:ascii="Times New Roman" w:eastAsia="宋体" w:hAnsi="Times New Roman" w:cs="Times New Roman"/>
          <w:kern w:val="20"/>
          <w:sz w:val="24"/>
        </w:rPr>
        <w:t> </w:t>
      </w:r>
      <w:r>
        <w:rPr>
          <w:rFonts w:ascii="Times New Roman" w:eastAsia="宋体" w:hAnsi="Times New Roman" w:cs="Times New Roman"/>
          <w:kern w:val="20"/>
          <w:sz w:val="24"/>
        </w:rPr>
        <w:t>定期组织线上康复经验分享会，邀请进步显著的患者或家属分享成功经验。针对高龄患者，特别强调增加家属监督权重以保障安全，要求穿着防滑性能优良的鞋具，并</w:t>
      </w:r>
      <w:r>
        <w:rPr>
          <w:rFonts w:ascii="Times New Roman" w:eastAsia="宋体" w:hAnsi="Times New Roman" w:cs="Times New Roman" w:hint="eastAsia"/>
          <w:kern w:val="20"/>
          <w:sz w:val="24"/>
        </w:rPr>
        <w:t>鼓励</w:t>
      </w:r>
      <w:r>
        <w:rPr>
          <w:rFonts w:ascii="Times New Roman" w:eastAsia="宋体" w:hAnsi="Times New Roman" w:cs="Times New Roman"/>
          <w:kern w:val="20"/>
          <w:sz w:val="24"/>
        </w:rPr>
        <w:t>使用具备跌倒检测及紧急呼叫（</w:t>
      </w:r>
      <w:r>
        <w:rPr>
          <w:rFonts w:ascii="Times New Roman" w:eastAsia="宋体" w:hAnsi="Times New Roman" w:cs="Times New Roman"/>
          <w:kern w:val="20"/>
          <w:sz w:val="24"/>
        </w:rPr>
        <w:t>SOS</w:t>
      </w:r>
      <w:r>
        <w:rPr>
          <w:rFonts w:ascii="Times New Roman" w:eastAsia="宋体" w:hAnsi="Times New Roman" w:cs="Times New Roman"/>
          <w:kern w:val="20"/>
          <w:sz w:val="24"/>
        </w:rPr>
        <w:t>）功能的智能手环。</w:t>
      </w:r>
    </w:p>
    <w:p w14:paraId="59BBBA19" w14:textId="77777777" w:rsidR="0029401A" w:rsidRDefault="00000000">
      <w:pPr>
        <w:widowControl/>
        <w:spacing w:line="360" w:lineRule="auto"/>
        <w:rPr>
          <w:rFonts w:ascii="Times New Roman" w:eastAsia="宋体" w:hAnsi="Times New Roman" w:cs="Times New Roman"/>
          <w:b/>
          <w:bCs/>
          <w:kern w:val="20"/>
          <w:sz w:val="24"/>
        </w:rPr>
      </w:pPr>
      <w:r>
        <w:rPr>
          <w:rFonts w:ascii="Times New Roman" w:eastAsia="宋体" w:hAnsi="Times New Roman" w:cs="Times New Roman" w:hint="eastAsia"/>
          <w:b/>
          <w:bCs/>
          <w:kern w:val="20"/>
          <w:sz w:val="24"/>
        </w:rPr>
        <w:t>1.3</w:t>
      </w:r>
      <w:r>
        <w:rPr>
          <w:rFonts w:ascii="Times New Roman" w:eastAsia="宋体" w:hAnsi="Times New Roman" w:cs="Times New Roman" w:hint="eastAsia"/>
          <w:b/>
          <w:bCs/>
          <w:kern w:val="20"/>
          <w:sz w:val="24"/>
        </w:rPr>
        <w:t>观察指标</w:t>
      </w:r>
    </w:p>
    <w:p w14:paraId="2A480A45" w14:textId="77777777" w:rsidR="0029401A" w:rsidRDefault="00000000">
      <w:pPr>
        <w:widowControl/>
        <w:spacing w:line="360" w:lineRule="auto"/>
        <w:ind w:firstLineChars="200" w:firstLine="480"/>
        <w:rPr>
          <w:rFonts w:ascii="Times New Roman" w:eastAsiaTheme="majorEastAsia" w:hAnsi="Times New Roman" w:cs="Times New Roman"/>
          <w:sz w:val="24"/>
        </w:rPr>
      </w:pPr>
      <w:r>
        <w:rPr>
          <w:rFonts w:ascii="Times New Roman" w:eastAsiaTheme="majorEastAsia" w:hAnsi="Times New Roman" w:cs="Times New Roman"/>
          <w:sz w:val="24"/>
        </w:rPr>
        <w:t>①</w:t>
      </w:r>
      <w:r>
        <w:rPr>
          <w:rFonts w:ascii="Times New Roman" w:eastAsiaTheme="majorEastAsia" w:hAnsi="Times New Roman" w:cs="Times New Roman"/>
          <w:sz w:val="24"/>
        </w:rPr>
        <w:t>前列腺症状：国际前列腺症状评分表</w:t>
      </w:r>
      <w:r>
        <w:rPr>
          <w:rFonts w:ascii="Times New Roman" w:hAnsi="Times New Roman" w:cs="Times New Roman"/>
          <w:color w:val="333333"/>
          <w:szCs w:val="21"/>
          <w:shd w:val="clear" w:color="auto" w:fill="FFFFFF"/>
          <w:vertAlign w:val="superscript"/>
        </w:rPr>
        <w:t>[1</w:t>
      </w:r>
      <w:r>
        <w:rPr>
          <w:rFonts w:ascii="Times New Roman" w:hAnsi="Times New Roman" w:cs="Times New Roman" w:hint="eastAsia"/>
          <w:color w:val="333333"/>
          <w:szCs w:val="21"/>
          <w:shd w:val="clear" w:color="auto" w:fill="FFFFFF"/>
          <w:vertAlign w:val="superscript"/>
        </w:rPr>
        <w:t>1</w:t>
      </w:r>
      <w:r>
        <w:rPr>
          <w:rFonts w:ascii="Times New Roman" w:hAnsi="Times New Roman" w:cs="Times New Roman"/>
          <w:color w:val="333333"/>
          <w:szCs w:val="21"/>
          <w:shd w:val="clear" w:color="auto" w:fill="FFFFFF"/>
          <w:vertAlign w:val="superscript"/>
        </w:rPr>
        <w:t>]</w:t>
      </w:r>
      <w:r>
        <w:rPr>
          <w:rFonts w:ascii="Times New Roman" w:eastAsiaTheme="majorEastAsia" w:hAnsi="Times New Roman" w:cs="Times New Roman"/>
          <w:sz w:val="24"/>
        </w:rPr>
        <w:t>（</w:t>
      </w:r>
      <w:r>
        <w:rPr>
          <w:rFonts w:ascii="Times New Roman" w:eastAsiaTheme="majorEastAsia" w:hAnsi="Times New Roman" w:cs="Times New Roman"/>
          <w:sz w:val="24"/>
        </w:rPr>
        <w:t>IPSS</w:t>
      </w:r>
      <w:r>
        <w:rPr>
          <w:rFonts w:ascii="Times New Roman" w:eastAsiaTheme="majorEastAsia" w:hAnsi="Times New Roman" w:cs="Times New Roman"/>
          <w:sz w:val="24"/>
        </w:rPr>
        <w:t>）是一个用于评估良性前列腺增生症状严重程度的标准化问卷。该问卷评分表由美国泌尿科学会和世界泌尿科学会共同制定。</w:t>
      </w:r>
      <w:r>
        <w:rPr>
          <w:rFonts w:ascii="Times New Roman" w:eastAsiaTheme="majorEastAsia" w:hAnsi="Times New Roman" w:cs="Times New Roman"/>
          <w:sz w:val="24"/>
        </w:rPr>
        <w:t>IPSS</w:t>
      </w:r>
      <w:r>
        <w:rPr>
          <w:rFonts w:ascii="Times New Roman" w:eastAsiaTheme="majorEastAsia" w:hAnsi="Times New Roman" w:cs="Times New Roman" w:hint="eastAsia"/>
          <w:sz w:val="24"/>
        </w:rPr>
        <w:t>评分表由</w:t>
      </w:r>
      <w:r>
        <w:rPr>
          <w:rFonts w:ascii="Times New Roman" w:eastAsiaTheme="majorEastAsia" w:hAnsi="Times New Roman" w:cs="Times New Roman" w:hint="eastAsia"/>
          <w:sz w:val="24"/>
        </w:rPr>
        <w:t>7</w:t>
      </w:r>
      <w:r>
        <w:rPr>
          <w:rFonts w:ascii="Times New Roman" w:eastAsiaTheme="majorEastAsia" w:hAnsi="Times New Roman" w:cs="Times New Roman" w:hint="eastAsia"/>
          <w:sz w:val="24"/>
        </w:rPr>
        <w:t>个问题组成，</w:t>
      </w:r>
      <w:r>
        <w:rPr>
          <w:rFonts w:ascii="Times New Roman" w:eastAsiaTheme="majorEastAsia" w:hAnsi="Times New Roman" w:cs="Times New Roman"/>
          <w:sz w:val="24"/>
        </w:rPr>
        <w:t>其中，排尿期症状包括不完全排空、间歇性排尿、尿无力、用力排尿，储尿期症状包括尿频、尿急与夜尿症。</w:t>
      </w:r>
      <w:r>
        <w:rPr>
          <w:rFonts w:ascii="Times New Roman" w:eastAsiaTheme="majorEastAsia" w:hAnsi="Times New Roman" w:cs="Times New Roman" w:hint="eastAsia"/>
          <w:sz w:val="24"/>
        </w:rPr>
        <w:t>总分</w:t>
      </w:r>
      <w:r>
        <w:rPr>
          <w:rFonts w:ascii="Times New Roman" w:eastAsiaTheme="majorEastAsia" w:hAnsi="Times New Roman" w:cs="Times New Roman" w:hint="eastAsia"/>
          <w:sz w:val="24"/>
        </w:rPr>
        <w:t>0~35</w:t>
      </w:r>
      <w:r>
        <w:rPr>
          <w:rFonts w:ascii="Times New Roman" w:eastAsiaTheme="majorEastAsia" w:hAnsi="Times New Roman" w:cs="Times New Roman" w:hint="eastAsia"/>
          <w:sz w:val="24"/>
        </w:rPr>
        <w:t>分，</w:t>
      </w:r>
      <w:r>
        <w:rPr>
          <w:rFonts w:ascii="Times New Roman" w:eastAsiaTheme="majorEastAsia" w:hAnsi="Times New Roman" w:cs="Times New Roman"/>
          <w:sz w:val="24"/>
        </w:rPr>
        <w:t>轻症</w:t>
      </w:r>
      <w:r>
        <w:rPr>
          <w:rFonts w:ascii="Times New Roman" w:eastAsiaTheme="majorEastAsia" w:hAnsi="Times New Roman" w:cs="Times New Roman" w:hint="eastAsia"/>
          <w:sz w:val="24"/>
        </w:rPr>
        <w:t>症状</w:t>
      </w:r>
      <w:r>
        <w:rPr>
          <w:rFonts w:ascii="Times New Roman" w:eastAsiaTheme="majorEastAsia" w:hAnsi="Times New Roman" w:cs="Times New Roman"/>
          <w:sz w:val="24"/>
        </w:rPr>
        <w:t>：</w:t>
      </w:r>
      <w:r>
        <w:rPr>
          <w:rFonts w:ascii="Times New Roman" w:eastAsiaTheme="majorEastAsia" w:hAnsi="Times New Roman" w:cs="Times New Roman"/>
          <w:sz w:val="24"/>
        </w:rPr>
        <w:t>0-7</w:t>
      </w:r>
      <w:r>
        <w:rPr>
          <w:rFonts w:ascii="Times New Roman" w:eastAsiaTheme="majorEastAsia" w:hAnsi="Times New Roman" w:cs="Times New Roman"/>
          <w:sz w:val="24"/>
        </w:rPr>
        <w:t>分；中度症状：</w:t>
      </w:r>
      <w:r>
        <w:rPr>
          <w:rFonts w:ascii="Times New Roman" w:eastAsiaTheme="majorEastAsia" w:hAnsi="Times New Roman" w:cs="Times New Roman"/>
          <w:sz w:val="24"/>
        </w:rPr>
        <w:t>8-19</w:t>
      </w:r>
      <w:r>
        <w:rPr>
          <w:rFonts w:ascii="Times New Roman" w:eastAsiaTheme="majorEastAsia" w:hAnsi="Times New Roman" w:cs="Times New Roman"/>
          <w:sz w:val="24"/>
        </w:rPr>
        <w:t>分；重度症状：</w:t>
      </w:r>
      <w:r>
        <w:rPr>
          <w:rFonts w:ascii="Times New Roman" w:eastAsiaTheme="majorEastAsia" w:hAnsi="Times New Roman" w:cs="Times New Roman"/>
          <w:sz w:val="24"/>
        </w:rPr>
        <w:t>20-35</w:t>
      </w:r>
      <w:r>
        <w:rPr>
          <w:rFonts w:ascii="Times New Roman" w:eastAsiaTheme="majorEastAsia" w:hAnsi="Times New Roman" w:cs="Times New Roman"/>
          <w:sz w:val="24"/>
        </w:rPr>
        <w:t>分。</w:t>
      </w:r>
    </w:p>
    <w:p w14:paraId="08A465C0" w14:textId="77777777" w:rsidR="0029401A" w:rsidRDefault="00000000">
      <w:pPr>
        <w:widowControl/>
        <w:spacing w:line="360" w:lineRule="auto"/>
        <w:ind w:firstLineChars="200" w:firstLine="480"/>
        <w:rPr>
          <w:rFonts w:ascii="Times New Roman" w:eastAsiaTheme="majorEastAsia" w:hAnsi="Times New Roman" w:cs="Times New Roman"/>
          <w:kern w:val="20"/>
          <w:sz w:val="24"/>
        </w:rPr>
      </w:pPr>
      <w:r>
        <w:rPr>
          <w:rFonts w:ascii="Times New Roman" w:eastAsiaTheme="majorEastAsia" w:hAnsi="Times New Roman" w:cs="Times New Roman"/>
          <w:sz w:val="24"/>
        </w:rPr>
        <w:t>②</w:t>
      </w:r>
      <w:r>
        <w:rPr>
          <w:rFonts w:ascii="Times New Roman" w:eastAsiaTheme="majorEastAsia" w:hAnsi="Times New Roman" w:cs="Times New Roman" w:hint="eastAsia"/>
          <w:sz w:val="24"/>
        </w:rPr>
        <w:t>控尿能力：由护理人员记录两组病人术后</w:t>
      </w:r>
      <w:r>
        <w:rPr>
          <w:rFonts w:ascii="Times New Roman" w:eastAsiaTheme="majorEastAsia" w:hAnsi="Times New Roman" w:cs="Times New Roman" w:hint="eastAsia"/>
          <w:sz w:val="24"/>
        </w:rPr>
        <w:t>1</w:t>
      </w:r>
      <w:r>
        <w:rPr>
          <w:rFonts w:ascii="Times New Roman" w:eastAsiaTheme="majorEastAsia" w:hAnsi="Times New Roman" w:cs="Times New Roman" w:hint="eastAsia"/>
          <w:sz w:val="24"/>
        </w:rPr>
        <w:t>月拔除尿管后的控尿能力。主要包括</w:t>
      </w:r>
      <w:r>
        <w:rPr>
          <w:rFonts w:ascii="Times New Roman" w:eastAsiaTheme="majorEastAsia" w:hAnsi="Times New Roman" w:cs="Times New Roman" w:hint="eastAsia"/>
          <w:sz w:val="24"/>
        </w:rPr>
        <w:t>24h</w:t>
      </w:r>
      <w:r>
        <w:rPr>
          <w:rFonts w:ascii="Times New Roman" w:eastAsiaTheme="majorEastAsia" w:hAnsi="Times New Roman" w:cs="Times New Roman" w:hint="eastAsia"/>
          <w:sz w:val="24"/>
        </w:rPr>
        <w:t>排尿次数、</w:t>
      </w:r>
      <w:r>
        <w:rPr>
          <w:rFonts w:ascii="Times New Roman" w:eastAsiaTheme="majorEastAsia" w:hAnsi="Times New Roman" w:cs="Times New Roman" w:hint="eastAsia"/>
          <w:sz w:val="24"/>
        </w:rPr>
        <w:t>24h</w:t>
      </w:r>
      <w:r>
        <w:rPr>
          <w:rFonts w:ascii="Times New Roman" w:eastAsiaTheme="majorEastAsia" w:hAnsi="Times New Roman" w:cs="Times New Roman" w:hint="eastAsia"/>
          <w:sz w:val="24"/>
        </w:rPr>
        <w:t>漏尿次数、每次排尿量、残余尿量</w:t>
      </w:r>
      <w:r>
        <w:rPr>
          <w:rFonts w:ascii="Times New Roman" w:hAnsi="Times New Roman" w:cs="Times New Roman"/>
          <w:color w:val="333333"/>
          <w:szCs w:val="21"/>
          <w:shd w:val="clear" w:color="auto" w:fill="FFFFFF"/>
          <w:vertAlign w:val="superscript"/>
        </w:rPr>
        <w:t>[1</w:t>
      </w:r>
      <w:r>
        <w:rPr>
          <w:rFonts w:ascii="Times New Roman" w:hAnsi="Times New Roman" w:cs="Times New Roman" w:hint="eastAsia"/>
          <w:color w:val="333333"/>
          <w:szCs w:val="21"/>
          <w:shd w:val="clear" w:color="auto" w:fill="FFFFFF"/>
          <w:vertAlign w:val="superscript"/>
        </w:rPr>
        <w:t>2</w:t>
      </w:r>
      <w:r>
        <w:rPr>
          <w:rFonts w:ascii="Times New Roman" w:hAnsi="Times New Roman" w:cs="Times New Roman"/>
          <w:color w:val="333333"/>
          <w:szCs w:val="21"/>
          <w:shd w:val="clear" w:color="auto" w:fill="FFFFFF"/>
          <w:vertAlign w:val="superscript"/>
        </w:rPr>
        <w:t>]</w:t>
      </w:r>
      <w:r>
        <w:rPr>
          <w:rFonts w:ascii="Times New Roman" w:eastAsiaTheme="majorEastAsia" w:hAnsi="Times New Roman" w:cs="Times New Roman" w:hint="eastAsia"/>
          <w:sz w:val="24"/>
        </w:rPr>
        <w:t>。</w:t>
      </w:r>
    </w:p>
    <w:p w14:paraId="0AB6910F" w14:textId="77777777" w:rsidR="0029401A" w:rsidRDefault="00000000">
      <w:pPr>
        <w:widowControl/>
        <w:spacing w:line="360" w:lineRule="auto"/>
        <w:ind w:firstLineChars="200" w:firstLine="480"/>
        <w:rPr>
          <w:rFonts w:ascii="Times New Roman" w:eastAsiaTheme="majorEastAsia" w:hAnsi="Times New Roman" w:cs="Times New Roman"/>
          <w:sz w:val="24"/>
        </w:rPr>
      </w:pPr>
      <w:r>
        <w:rPr>
          <w:rFonts w:ascii="Times New Roman" w:eastAsiaTheme="majorEastAsia" w:hAnsi="Times New Roman" w:cs="Times New Roman" w:hint="eastAsia"/>
          <w:sz w:val="24"/>
        </w:rPr>
        <w:t>③疼评分痛：采用视觉模拟评分法</w:t>
      </w:r>
      <w:r>
        <w:rPr>
          <w:rFonts w:ascii="Times New Roman" w:hAnsi="Times New Roman" w:cs="Times New Roman"/>
          <w:color w:val="333333"/>
          <w:szCs w:val="21"/>
          <w:shd w:val="clear" w:color="auto" w:fill="FFFFFF"/>
          <w:vertAlign w:val="superscript"/>
        </w:rPr>
        <w:t>[1</w:t>
      </w:r>
      <w:r>
        <w:rPr>
          <w:rFonts w:ascii="Times New Roman" w:hAnsi="Times New Roman" w:cs="Times New Roman" w:hint="eastAsia"/>
          <w:color w:val="333333"/>
          <w:szCs w:val="21"/>
          <w:shd w:val="clear" w:color="auto" w:fill="FFFFFF"/>
          <w:vertAlign w:val="superscript"/>
        </w:rPr>
        <w:t>3</w:t>
      </w:r>
      <w:r>
        <w:rPr>
          <w:rFonts w:ascii="Times New Roman" w:hAnsi="Times New Roman" w:cs="Times New Roman"/>
          <w:color w:val="333333"/>
          <w:szCs w:val="21"/>
          <w:shd w:val="clear" w:color="auto" w:fill="FFFFFF"/>
          <w:vertAlign w:val="superscript"/>
        </w:rPr>
        <w:t>]</w:t>
      </w:r>
      <w:r>
        <w:rPr>
          <w:rFonts w:ascii="Times New Roman" w:eastAsiaTheme="majorEastAsia" w:hAnsi="Times New Roman" w:cs="Times New Roman" w:hint="eastAsia"/>
          <w:sz w:val="24"/>
        </w:rPr>
        <w:t>（</w:t>
      </w:r>
      <w:r>
        <w:rPr>
          <w:rFonts w:ascii="Times New Roman" w:eastAsiaTheme="majorEastAsia" w:hAnsi="Times New Roman" w:cs="Times New Roman" w:hint="eastAsia"/>
          <w:sz w:val="24"/>
        </w:rPr>
        <w:t>VAS</w:t>
      </w:r>
      <w:r>
        <w:rPr>
          <w:rFonts w:ascii="Times New Roman" w:eastAsiaTheme="majorEastAsia" w:hAnsi="Times New Roman" w:cs="Times New Roman" w:hint="eastAsia"/>
          <w:sz w:val="24"/>
        </w:rPr>
        <w:t>）评价两组患者手术当日、术后一天、术后一周疼痛程度，满分</w:t>
      </w:r>
      <w:r>
        <w:rPr>
          <w:rFonts w:ascii="Times New Roman" w:eastAsiaTheme="majorEastAsia" w:hAnsi="Times New Roman" w:cs="Times New Roman" w:hint="eastAsia"/>
          <w:sz w:val="24"/>
        </w:rPr>
        <w:t>10</w:t>
      </w:r>
      <w:r>
        <w:rPr>
          <w:rFonts w:ascii="Times New Roman" w:eastAsiaTheme="majorEastAsia" w:hAnsi="Times New Roman" w:cs="Times New Roman" w:hint="eastAsia"/>
          <w:sz w:val="24"/>
        </w:rPr>
        <w:t>分，分值与术后患者机体疼痛程度呈正相关。</w:t>
      </w:r>
    </w:p>
    <w:p w14:paraId="269F5D46" w14:textId="77777777" w:rsidR="0029401A" w:rsidRDefault="00000000">
      <w:pPr>
        <w:widowControl/>
        <w:spacing w:line="360" w:lineRule="auto"/>
        <w:ind w:firstLineChars="200" w:firstLine="480"/>
        <w:rPr>
          <w:rFonts w:ascii="Times New Roman" w:eastAsiaTheme="majorEastAsia" w:hAnsi="Times New Roman" w:cs="Times New Roman"/>
          <w:sz w:val="24"/>
        </w:rPr>
      </w:pPr>
      <w:r>
        <w:rPr>
          <w:rFonts w:ascii="Times New Roman" w:eastAsiaTheme="majorEastAsia" w:hAnsi="Times New Roman" w:cs="Times New Roman" w:hint="eastAsia"/>
          <w:sz w:val="24"/>
        </w:rPr>
        <w:t>④负性心态评分：采用焦虑自评量表（</w:t>
      </w:r>
      <w:r>
        <w:rPr>
          <w:rFonts w:ascii="Times New Roman" w:eastAsiaTheme="majorEastAsia" w:hAnsi="Times New Roman" w:cs="Times New Roman" w:hint="eastAsia"/>
          <w:sz w:val="24"/>
        </w:rPr>
        <w:t>SAS</w:t>
      </w:r>
      <w:r>
        <w:rPr>
          <w:rFonts w:ascii="Times New Roman" w:eastAsiaTheme="majorEastAsia" w:hAnsi="Times New Roman" w:cs="Times New Roman" w:hint="eastAsia"/>
          <w:sz w:val="24"/>
        </w:rPr>
        <w:t>）和抑郁自评量表（</w:t>
      </w:r>
      <w:r>
        <w:rPr>
          <w:rFonts w:ascii="Times New Roman" w:eastAsiaTheme="majorEastAsia" w:hAnsi="Times New Roman" w:cs="Times New Roman" w:hint="eastAsia"/>
          <w:sz w:val="24"/>
        </w:rPr>
        <w:t>SDS</w:t>
      </w:r>
      <w:r>
        <w:rPr>
          <w:rFonts w:ascii="Times New Roman" w:eastAsiaTheme="majorEastAsia" w:hAnsi="Times New Roman" w:cs="Times New Roman" w:hint="eastAsia"/>
          <w:sz w:val="24"/>
        </w:rPr>
        <w:t>）评价患者的负性情绪</w:t>
      </w:r>
      <w:r>
        <w:rPr>
          <w:rFonts w:ascii="Times New Roman" w:hAnsi="Times New Roman" w:cs="Times New Roman"/>
          <w:color w:val="333333"/>
          <w:szCs w:val="21"/>
          <w:shd w:val="clear" w:color="auto" w:fill="FFFFFF"/>
          <w:vertAlign w:val="superscript"/>
        </w:rPr>
        <w:t>[1</w:t>
      </w:r>
      <w:r>
        <w:rPr>
          <w:rFonts w:ascii="Times New Roman" w:hAnsi="Times New Roman" w:cs="Times New Roman" w:hint="eastAsia"/>
          <w:color w:val="333333"/>
          <w:szCs w:val="21"/>
          <w:shd w:val="clear" w:color="auto" w:fill="FFFFFF"/>
          <w:vertAlign w:val="superscript"/>
        </w:rPr>
        <w:t>4</w:t>
      </w:r>
      <w:r>
        <w:rPr>
          <w:rFonts w:ascii="Times New Roman" w:hAnsi="Times New Roman" w:cs="Times New Roman"/>
          <w:color w:val="333333"/>
          <w:szCs w:val="21"/>
          <w:shd w:val="clear" w:color="auto" w:fill="FFFFFF"/>
          <w:vertAlign w:val="superscript"/>
        </w:rPr>
        <w:t>]</w:t>
      </w:r>
      <w:r>
        <w:rPr>
          <w:rFonts w:ascii="Times New Roman" w:eastAsiaTheme="majorEastAsia" w:hAnsi="Times New Roman" w:cs="Times New Roman" w:hint="eastAsia"/>
          <w:sz w:val="24"/>
        </w:rPr>
        <w:t>。焦虑自评量表：量表共有</w:t>
      </w:r>
      <w:r>
        <w:rPr>
          <w:rFonts w:ascii="Times New Roman" w:eastAsiaTheme="majorEastAsia" w:hAnsi="Times New Roman" w:cs="Times New Roman" w:hint="eastAsia"/>
          <w:sz w:val="24"/>
        </w:rPr>
        <w:t>20</w:t>
      </w:r>
      <w:r>
        <w:rPr>
          <w:rFonts w:ascii="Times New Roman" w:eastAsiaTheme="majorEastAsia" w:hAnsi="Times New Roman" w:cs="Times New Roman" w:hint="eastAsia"/>
          <w:sz w:val="24"/>
        </w:rPr>
        <w:t>个项目，每个项目根据症状出现的频度评分，分值范围为</w:t>
      </w:r>
      <w:r>
        <w:rPr>
          <w:rFonts w:ascii="Times New Roman" w:eastAsiaTheme="majorEastAsia" w:hAnsi="Times New Roman" w:cs="Times New Roman" w:hint="eastAsia"/>
          <w:sz w:val="24"/>
        </w:rPr>
        <w:t>1-4</w:t>
      </w:r>
      <w:r>
        <w:rPr>
          <w:rFonts w:ascii="Times New Roman" w:eastAsiaTheme="majorEastAsia" w:hAnsi="Times New Roman" w:cs="Times New Roman" w:hint="eastAsia"/>
          <w:sz w:val="24"/>
        </w:rPr>
        <w:t>分。总分越高表示焦虑程度越严重；抑郁自评量表：该量表共有</w:t>
      </w:r>
      <w:r>
        <w:rPr>
          <w:rFonts w:ascii="Times New Roman" w:eastAsiaTheme="majorEastAsia" w:hAnsi="Times New Roman" w:cs="Times New Roman" w:hint="eastAsia"/>
          <w:sz w:val="24"/>
        </w:rPr>
        <w:t>20</w:t>
      </w:r>
      <w:r>
        <w:rPr>
          <w:rFonts w:ascii="Times New Roman" w:eastAsiaTheme="majorEastAsia" w:hAnsi="Times New Roman" w:cs="Times New Roman" w:hint="eastAsia"/>
          <w:sz w:val="24"/>
        </w:rPr>
        <w:t>个项目，每个项目根据症状出现的频度评分，分值范围为</w:t>
      </w:r>
      <w:r>
        <w:rPr>
          <w:rFonts w:ascii="Times New Roman" w:eastAsiaTheme="majorEastAsia" w:hAnsi="Times New Roman" w:cs="Times New Roman" w:hint="eastAsia"/>
          <w:sz w:val="24"/>
        </w:rPr>
        <w:t>1-4</w:t>
      </w:r>
      <w:r>
        <w:rPr>
          <w:rFonts w:ascii="Times New Roman" w:eastAsiaTheme="majorEastAsia" w:hAnsi="Times New Roman" w:cs="Times New Roman" w:hint="eastAsia"/>
          <w:sz w:val="24"/>
        </w:rPr>
        <w:t>分。总分越高表示抑郁程度越严重。</w:t>
      </w:r>
    </w:p>
    <w:p w14:paraId="4F32E1EC" w14:textId="77777777" w:rsidR="0029401A" w:rsidRDefault="00000000">
      <w:pPr>
        <w:widowControl/>
        <w:spacing w:line="360" w:lineRule="auto"/>
        <w:ind w:firstLineChars="200" w:firstLine="480"/>
        <w:rPr>
          <w:rFonts w:asciiTheme="majorEastAsia" w:eastAsiaTheme="majorEastAsia" w:hAnsiTheme="majorEastAsia" w:cstheme="majorEastAsia" w:hint="eastAsia"/>
          <w:kern w:val="20"/>
          <w:sz w:val="24"/>
        </w:rPr>
      </w:pPr>
      <w:r>
        <w:rPr>
          <w:rFonts w:ascii="Times New Roman" w:eastAsiaTheme="majorEastAsia" w:hAnsi="Times New Roman" w:cs="Times New Roman" w:hint="eastAsia"/>
          <w:sz w:val="24"/>
        </w:rPr>
        <w:t>⑤患者满意度：</w:t>
      </w:r>
      <w:r>
        <w:rPr>
          <w:rFonts w:asciiTheme="majorEastAsia" w:eastAsiaTheme="majorEastAsia" w:hAnsiTheme="majorEastAsia" w:cstheme="majorEastAsia" w:hint="eastAsia"/>
          <w:kern w:val="20"/>
          <w:sz w:val="24"/>
        </w:rPr>
        <w:t>指导患者使用本科室自制的满意度调查问卷对本次护理服务进行评估，共计100分，评分越高，满意度越高。根据评分将满意度划分为4个等级，即非常满意（90-100分）、满意（80-89分）、尚可（60-79分）、不满意（&lt;60分），总满意度=（非常满意+满意+尚可）例数/总例数*100%。</w:t>
      </w:r>
    </w:p>
    <w:p w14:paraId="67061D36" w14:textId="77777777" w:rsidR="0029401A" w:rsidRDefault="00000000">
      <w:pPr>
        <w:widowControl/>
        <w:spacing w:line="360" w:lineRule="auto"/>
        <w:ind w:firstLineChars="200" w:firstLine="480"/>
        <w:rPr>
          <w:rFonts w:ascii="Times New Roman" w:eastAsiaTheme="majorEastAsia" w:hAnsi="Times New Roman" w:cs="Times New Roman"/>
          <w:sz w:val="24"/>
        </w:rPr>
      </w:pPr>
      <w:r>
        <w:rPr>
          <w:rFonts w:ascii="Times New Roman" w:eastAsiaTheme="majorEastAsia" w:hAnsi="Times New Roman" w:cs="Times New Roman" w:hint="eastAsia"/>
          <w:sz w:val="24"/>
        </w:rPr>
        <w:t>⑥患者依从性：从患者情绪管理、饮食、戒烟戒酒、及时用药和功能锻炼</w:t>
      </w:r>
      <w:r>
        <w:rPr>
          <w:rFonts w:ascii="Times New Roman" w:eastAsiaTheme="majorEastAsia" w:hAnsi="Times New Roman" w:cs="Times New Roman" w:hint="eastAsia"/>
          <w:sz w:val="24"/>
        </w:rPr>
        <w:t>5</w:t>
      </w:r>
      <w:r>
        <w:rPr>
          <w:rFonts w:ascii="Times New Roman" w:eastAsiaTheme="majorEastAsia" w:hAnsi="Times New Roman" w:cs="Times New Roman" w:hint="eastAsia"/>
          <w:sz w:val="24"/>
        </w:rPr>
        <w:t>个方面评价和记录患者的依从性。各项满分十分，分数越高，依从性越高。</w:t>
      </w:r>
    </w:p>
    <w:p w14:paraId="4F50967B" w14:textId="77777777" w:rsidR="0029401A" w:rsidRDefault="00000000">
      <w:pPr>
        <w:widowControl/>
        <w:spacing w:line="360" w:lineRule="auto"/>
        <w:rPr>
          <w:rFonts w:ascii="Times New Roman" w:eastAsia="宋体" w:hAnsi="Times New Roman" w:cs="Times New Roman"/>
          <w:b/>
          <w:bCs/>
          <w:kern w:val="20"/>
          <w:sz w:val="24"/>
        </w:rPr>
      </w:pPr>
      <w:r>
        <w:rPr>
          <w:rFonts w:ascii="Times New Roman" w:eastAsia="宋体" w:hAnsi="Times New Roman" w:cs="Times New Roman" w:hint="eastAsia"/>
          <w:b/>
          <w:bCs/>
          <w:kern w:val="20"/>
          <w:sz w:val="24"/>
        </w:rPr>
        <w:t>1.4</w:t>
      </w:r>
      <w:r>
        <w:rPr>
          <w:rFonts w:ascii="Times New Roman" w:eastAsia="宋体" w:hAnsi="Times New Roman" w:cs="Times New Roman" w:hint="eastAsia"/>
          <w:b/>
          <w:bCs/>
          <w:kern w:val="20"/>
          <w:sz w:val="24"/>
        </w:rPr>
        <w:t>统计学方法</w:t>
      </w:r>
    </w:p>
    <w:p w14:paraId="2ADDB77D" w14:textId="77777777" w:rsidR="0029401A" w:rsidRDefault="00000000">
      <w:pPr>
        <w:widowControl/>
        <w:spacing w:line="360" w:lineRule="auto"/>
        <w:ind w:firstLineChars="200" w:firstLine="480"/>
        <w:rPr>
          <w:rFonts w:ascii="Times New Roman" w:eastAsiaTheme="majorEastAsia" w:hAnsi="Times New Roman" w:cs="Times New Roman"/>
          <w:sz w:val="24"/>
        </w:rPr>
      </w:pPr>
      <w:r>
        <w:rPr>
          <w:rFonts w:ascii="Times New Roman" w:eastAsiaTheme="majorEastAsia" w:hAnsi="Times New Roman" w:cs="Times New Roman"/>
          <w:sz w:val="24"/>
        </w:rPr>
        <w:lastRenderedPageBreak/>
        <w:t>采取</w:t>
      </w:r>
      <w:r>
        <w:rPr>
          <w:rFonts w:ascii="Times New Roman" w:eastAsiaTheme="majorEastAsia" w:hAnsi="Times New Roman" w:cs="Times New Roman"/>
          <w:sz w:val="24"/>
        </w:rPr>
        <w:t>SPSS22.0</w:t>
      </w:r>
      <w:r>
        <w:rPr>
          <w:rFonts w:ascii="Times New Roman" w:eastAsiaTheme="majorEastAsia" w:hAnsi="Times New Roman" w:cs="Times New Roman"/>
          <w:sz w:val="24"/>
        </w:rPr>
        <w:t>统计学软件进行数据分析。符合正态分布的定量资料用均数</w:t>
      </w:r>
      <w:r>
        <w:rPr>
          <w:rFonts w:ascii="Times New Roman" w:eastAsiaTheme="majorEastAsia" w:hAnsi="Times New Roman" w:cs="Times New Roman"/>
          <w:sz w:val="24"/>
        </w:rPr>
        <w:t>±</w:t>
      </w:r>
      <w:r>
        <w:rPr>
          <w:rFonts w:ascii="Times New Roman" w:eastAsiaTheme="majorEastAsia" w:hAnsi="Times New Roman" w:cs="Times New Roman"/>
          <w:sz w:val="24"/>
        </w:rPr>
        <w:t>标准差表示，行</w:t>
      </w:r>
      <w:r>
        <w:rPr>
          <w:rFonts w:ascii="Times New Roman" w:eastAsiaTheme="majorEastAsia" w:hAnsi="Times New Roman" w:cs="Times New Roman"/>
          <w:sz w:val="24"/>
        </w:rPr>
        <w:t>t</w:t>
      </w:r>
      <w:r>
        <w:rPr>
          <w:rFonts w:ascii="Times New Roman" w:eastAsiaTheme="majorEastAsia" w:hAnsi="Times New Roman" w:cs="Times New Roman"/>
          <w:sz w:val="24"/>
        </w:rPr>
        <w:t>检验；定性资料用例数、百分比（</w:t>
      </w:r>
      <w:r>
        <w:rPr>
          <w:rFonts w:ascii="Times New Roman" w:eastAsiaTheme="majorEastAsia" w:hAnsi="Times New Roman" w:cs="Times New Roman"/>
          <w:sz w:val="24"/>
        </w:rPr>
        <w:t>%</w:t>
      </w:r>
      <w:r>
        <w:rPr>
          <w:rFonts w:ascii="Times New Roman" w:eastAsiaTheme="majorEastAsia" w:hAnsi="Times New Roman" w:cs="Times New Roman"/>
          <w:sz w:val="24"/>
        </w:rPr>
        <w:t>）。检验水准</w:t>
      </w:r>
      <w:r>
        <w:rPr>
          <w:rFonts w:ascii="Times New Roman" w:eastAsiaTheme="majorEastAsia" w:hAnsi="Times New Roman" w:cs="Times New Roman"/>
          <w:sz w:val="24"/>
        </w:rPr>
        <w:t>ɑ=</w:t>
      </w:r>
      <w:r>
        <w:rPr>
          <w:rFonts w:ascii="Times New Roman" w:eastAsiaTheme="majorEastAsia" w:hAnsi="Times New Roman" w:cs="Times New Roman" w:hint="eastAsia"/>
          <w:sz w:val="24"/>
        </w:rPr>
        <w:t>0.05</w:t>
      </w:r>
      <w:r>
        <w:rPr>
          <w:rFonts w:ascii="Times New Roman" w:eastAsiaTheme="majorEastAsia" w:hAnsi="Times New Roman" w:cs="Times New Roman"/>
          <w:sz w:val="24"/>
        </w:rPr>
        <w:t>。</w:t>
      </w:r>
    </w:p>
    <w:p w14:paraId="0E12E4DE" w14:textId="0A9CF684" w:rsidR="0029401A" w:rsidRPr="002713BB" w:rsidRDefault="00000000" w:rsidP="002713BB">
      <w:pPr>
        <w:pStyle w:val="1"/>
        <w:spacing w:line="360" w:lineRule="auto"/>
        <w:rPr>
          <w:rFonts w:asciiTheme="majorEastAsia" w:eastAsiaTheme="majorEastAsia" w:hAnsiTheme="majorEastAsia" w:cstheme="majorEastAsia"/>
          <w:sz w:val="24"/>
          <w:szCs w:val="24"/>
        </w:rPr>
      </w:pPr>
      <w:r w:rsidRPr="002713BB">
        <w:rPr>
          <w:rFonts w:asciiTheme="majorEastAsia" w:eastAsiaTheme="majorEastAsia" w:hAnsiTheme="majorEastAsia" w:cstheme="majorEastAsia"/>
          <w:sz w:val="24"/>
          <w:szCs w:val="24"/>
        </w:rPr>
        <w:t>2</w:t>
      </w:r>
      <w:r w:rsidR="002713BB">
        <w:rPr>
          <w:rFonts w:asciiTheme="majorEastAsia" w:eastAsiaTheme="majorEastAsia" w:hAnsiTheme="majorEastAsia" w:cstheme="majorEastAsia"/>
          <w:sz w:val="24"/>
          <w:szCs w:val="24"/>
        </w:rPr>
        <w:t xml:space="preserve"> </w:t>
      </w:r>
      <w:r w:rsidRPr="002713BB">
        <w:rPr>
          <w:rFonts w:asciiTheme="majorEastAsia" w:eastAsiaTheme="majorEastAsia" w:hAnsiTheme="majorEastAsia" w:cstheme="majorEastAsia"/>
          <w:sz w:val="24"/>
          <w:szCs w:val="24"/>
        </w:rPr>
        <w:t>研究结果</w:t>
      </w:r>
    </w:p>
    <w:p w14:paraId="4EED15DD" w14:textId="77777777" w:rsidR="0029401A" w:rsidRDefault="00000000">
      <w:pPr>
        <w:widowControl/>
        <w:spacing w:line="360" w:lineRule="auto"/>
        <w:rPr>
          <w:rFonts w:asciiTheme="majorEastAsia" w:eastAsiaTheme="majorEastAsia" w:hAnsiTheme="majorEastAsia" w:cstheme="majorEastAsia" w:hint="eastAsia"/>
          <w:sz w:val="24"/>
        </w:rPr>
      </w:pPr>
      <w:r>
        <w:rPr>
          <w:rFonts w:ascii="Times New Roman" w:eastAsia="宋体" w:hAnsi="Times New Roman" w:cs="Times New Roman" w:hint="eastAsia"/>
          <w:b/>
          <w:bCs/>
          <w:kern w:val="20"/>
          <w:sz w:val="24"/>
        </w:rPr>
        <w:t>2.1</w:t>
      </w:r>
      <w:r>
        <w:rPr>
          <w:rFonts w:ascii="Times New Roman" w:eastAsia="宋体" w:hAnsi="Times New Roman" w:cs="Times New Roman" w:hint="eastAsia"/>
          <w:b/>
          <w:bCs/>
          <w:kern w:val="20"/>
          <w:sz w:val="24"/>
        </w:rPr>
        <w:t>两组术后前列腺症状比较</w:t>
      </w:r>
      <w:r>
        <w:rPr>
          <w:rFonts w:ascii="Times New Roman" w:eastAsia="宋体" w:hAnsi="Times New Roman" w:cs="Times New Roman" w:hint="eastAsia"/>
          <w:b/>
          <w:bCs/>
          <w:kern w:val="20"/>
          <w:sz w:val="24"/>
        </w:rPr>
        <w:t xml:space="preserve">  </w:t>
      </w:r>
      <w:r>
        <w:rPr>
          <w:rFonts w:ascii="Times New Roman" w:eastAsiaTheme="majorEastAsia" w:hAnsi="Times New Roman" w:cs="Times New Roman" w:hint="eastAsia"/>
          <w:kern w:val="20"/>
          <w:sz w:val="24"/>
        </w:rPr>
        <w:t>术前两组患者</w:t>
      </w:r>
      <w:r>
        <w:rPr>
          <w:rFonts w:ascii="Times New Roman" w:eastAsiaTheme="majorEastAsia" w:hAnsi="Times New Roman" w:cs="Times New Roman" w:hint="eastAsia"/>
          <w:kern w:val="20"/>
          <w:sz w:val="24"/>
        </w:rPr>
        <w:t>IPSS</w:t>
      </w:r>
      <w:r>
        <w:rPr>
          <w:rFonts w:ascii="Times New Roman" w:eastAsiaTheme="majorEastAsia" w:hAnsi="Times New Roman" w:cs="Times New Roman" w:hint="eastAsia"/>
          <w:kern w:val="20"/>
          <w:sz w:val="24"/>
        </w:rPr>
        <w:t>评分比较无明显差异</w:t>
      </w:r>
      <w:r>
        <w:rPr>
          <w:rFonts w:ascii="Times New Roman" w:eastAsiaTheme="majorEastAsia" w:hAnsi="Times New Roman" w:cs="Times New Roman"/>
          <w:sz w:val="24"/>
        </w:rPr>
        <w:t>（</w:t>
      </w:r>
      <w:r>
        <w:rPr>
          <w:rFonts w:ascii="Times New Roman" w:eastAsiaTheme="majorEastAsia" w:hAnsi="Times New Roman" w:cs="Times New Roman"/>
          <w:i/>
          <w:iCs/>
          <w:sz w:val="24"/>
        </w:rPr>
        <w:t>P</w:t>
      </w:r>
      <w:r>
        <w:rPr>
          <w:rFonts w:ascii="Times New Roman" w:eastAsiaTheme="majorEastAsia" w:hAnsi="Times New Roman" w:cs="Times New Roman" w:hint="eastAsia"/>
          <w:i/>
          <w:iCs/>
          <w:sz w:val="24"/>
        </w:rPr>
        <w:t>＞</w:t>
      </w:r>
      <w:r>
        <w:rPr>
          <w:rFonts w:ascii="Times New Roman" w:eastAsiaTheme="majorEastAsia" w:hAnsi="Times New Roman" w:cs="Times New Roman"/>
          <w:sz w:val="24"/>
        </w:rPr>
        <w:t>0.05</w:t>
      </w:r>
      <w:r>
        <w:rPr>
          <w:rFonts w:ascii="Times New Roman" w:eastAsiaTheme="majorEastAsia" w:hAnsi="Times New Roman" w:cs="Times New Roman"/>
          <w:sz w:val="24"/>
        </w:rPr>
        <w:t>）</w:t>
      </w:r>
      <w:r>
        <w:rPr>
          <w:rFonts w:ascii="Times New Roman" w:eastAsiaTheme="majorEastAsia" w:hAnsi="Times New Roman" w:cs="Times New Roman" w:hint="eastAsia"/>
          <w:kern w:val="20"/>
          <w:sz w:val="24"/>
        </w:rPr>
        <w:t>，</w:t>
      </w:r>
      <w:r>
        <w:rPr>
          <w:rFonts w:ascii="Times New Roman" w:eastAsiaTheme="majorEastAsia" w:hAnsi="Times New Roman" w:cs="Times New Roman"/>
          <w:kern w:val="20"/>
          <w:sz w:val="24"/>
        </w:rPr>
        <w:t>术后</w:t>
      </w:r>
      <w:r>
        <w:rPr>
          <w:rFonts w:ascii="Times New Roman" w:eastAsiaTheme="majorEastAsia" w:hAnsi="Times New Roman" w:cs="Times New Roman" w:hint="eastAsia"/>
          <w:kern w:val="20"/>
          <w:sz w:val="24"/>
        </w:rPr>
        <w:t>观察组</w:t>
      </w:r>
      <w:r>
        <w:rPr>
          <w:rFonts w:ascii="Times New Roman" w:eastAsiaTheme="majorEastAsia" w:hAnsi="Times New Roman" w:cs="Times New Roman" w:hint="eastAsia"/>
          <w:kern w:val="20"/>
          <w:sz w:val="24"/>
        </w:rPr>
        <w:t>IPSS</w:t>
      </w:r>
      <w:r>
        <w:rPr>
          <w:rFonts w:ascii="Times New Roman" w:eastAsiaTheme="majorEastAsia" w:hAnsi="Times New Roman" w:cs="Times New Roman" w:hint="eastAsia"/>
          <w:kern w:val="20"/>
          <w:sz w:val="24"/>
        </w:rPr>
        <w:t>评分</w:t>
      </w:r>
      <w:r>
        <w:rPr>
          <w:rFonts w:ascii="Times New Roman" w:eastAsiaTheme="majorEastAsia" w:hAnsi="Times New Roman" w:cs="Times New Roman"/>
          <w:kern w:val="20"/>
          <w:sz w:val="24"/>
        </w:rPr>
        <w:t>低于</w:t>
      </w:r>
      <w:r>
        <w:rPr>
          <w:rFonts w:ascii="Times New Roman" w:eastAsiaTheme="majorEastAsia" w:hAnsi="Times New Roman" w:cs="Times New Roman" w:hint="eastAsia"/>
          <w:kern w:val="20"/>
          <w:sz w:val="24"/>
        </w:rPr>
        <w:t>对照组</w:t>
      </w:r>
      <w:r>
        <w:rPr>
          <w:rFonts w:ascii="Times New Roman" w:eastAsiaTheme="majorEastAsia" w:hAnsi="Times New Roman" w:cs="Times New Roman"/>
          <w:kern w:val="20"/>
          <w:sz w:val="24"/>
        </w:rPr>
        <w:t>，</w:t>
      </w:r>
      <w:r>
        <w:rPr>
          <w:rFonts w:ascii="Times New Roman" w:eastAsiaTheme="majorEastAsia" w:hAnsi="Times New Roman" w:cs="Times New Roman"/>
          <w:sz w:val="24"/>
        </w:rPr>
        <w:t>差异有统计学意义（</w:t>
      </w:r>
      <w:r>
        <w:rPr>
          <w:rFonts w:ascii="Times New Roman" w:eastAsiaTheme="majorEastAsia" w:hAnsi="Times New Roman" w:cs="Times New Roman"/>
          <w:i/>
          <w:iCs/>
          <w:sz w:val="24"/>
        </w:rPr>
        <w:t>P</w:t>
      </w:r>
      <w:r>
        <w:rPr>
          <w:rFonts w:ascii="Times New Roman" w:eastAsiaTheme="majorEastAsia" w:hAnsi="Times New Roman" w:cs="Times New Roman"/>
          <w:sz w:val="24"/>
        </w:rPr>
        <w:t>&lt;0.05</w:t>
      </w:r>
      <w:r>
        <w:rPr>
          <w:rFonts w:ascii="Times New Roman" w:eastAsiaTheme="majorEastAsia" w:hAnsi="Times New Roman" w:cs="Times New Roman"/>
          <w:sz w:val="24"/>
        </w:rPr>
        <w:t>）</w:t>
      </w:r>
      <w:r>
        <w:rPr>
          <w:rFonts w:ascii="Times New Roman" w:eastAsiaTheme="majorEastAsia" w:hAnsi="Times New Roman" w:cs="Times New Roman" w:hint="eastAsia"/>
          <w:sz w:val="24"/>
        </w:rPr>
        <w:t>，详</w:t>
      </w:r>
      <w:r>
        <w:rPr>
          <w:rFonts w:ascii="Times New Roman" w:eastAsiaTheme="majorEastAsia" w:hAnsi="Times New Roman" w:cs="Times New Roman"/>
          <w:sz w:val="24"/>
        </w:rPr>
        <w:t>见表</w:t>
      </w:r>
      <w:r>
        <w:rPr>
          <w:rFonts w:ascii="Times New Roman" w:eastAsiaTheme="majorEastAsia" w:hAnsi="Times New Roman" w:cs="Times New Roman"/>
          <w:sz w:val="24"/>
        </w:rPr>
        <w:t>1</w:t>
      </w:r>
      <w:r>
        <w:rPr>
          <w:rFonts w:ascii="Times New Roman" w:eastAsiaTheme="majorEastAsia" w:hAnsi="Times New Roman" w:cs="Times New Roman"/>
          <w:sz w:val="24"/>
        </w:rPr>
        <w:t>。</w:t>
      </w:r>
    </w:p>
    <w:p w14:paraId="46F7AC70"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sz w:val="24"/>
        </w:rPr>
      </w:pPr>
      <w:r>
        <w:rPr>
          <w:rFonts w:asciiTheme="majorEastAsia" w:eastAsiaTheme="majorEastAsia" w:hAnsiTheme="majorEastAsia" w:cstheme="majorEastAsia" w:hint="eastAsia"/>
          <w:sz w:val="24"/>
        </w:rPr>
        <w:t>表1两组术后前列腺症状评分对比</w:t>
      </w:r>
    </w:p>
    <w:tbl>
      <w:tblPr>
        <w:tblStyle w:val="a8"/>
        <w:tblpPr w:leftFromText="180" w:rightFromText="180" w:vertAnchor="text" w:horzAnchor="page" w:tblpX="3238" w:tblpY="71"/>
        <w:tblOverlap w:val="never"/>
        <w:tblW w:w="0" w:type="auto"/>
        <w:tblLook w:val="04A0" w:firstRow="1" w:lastRow="0" w:firstColumn="1" w:lastColumn="0" w:noHBand="0" w:noVBand="1"/>
      </w:tblPr>
      <w:tblGrid>
        <w:gridCol w:w="936"/>
        <w:gridCol w:w="696"/>
        <w:gridCol w:w="1536"/>
        <w:gridCol w:w="1416"/>
        <w:gridCol w:w="816"/>
        <w:gridCol w:w="1176"/>
      </w:tblGrid>
      <w:tr w:rsidR="0029401A" w14:paraId="2135A9C3" w14:textId="77777777">
        <w:trPr>
          <w:trHeight w:val="637"/>
        </w:trPr>
        <w:tc>
          <w:tcPr>
            <w:tcW w:w="0" w:type="auto"/>
            <w:tcBorders>
              <w:top w:val="single" w:sz="18" w:space="0" w:color="auto"/>
              <w:left w:val="nil"/>
              <w:bottom w:val="single" w:sz="4" w:space="0" w:color="000000"/>
              <w:right w:val="nil"/>
              <w:tl2br w:val="nil"/>
            </w:tcBorders>
            <w:shd w:val="clear" w:color="auto" w:fill="FFFFFF"/>
          </w:tcPr>
          <w:p w14:paraId="799D7BEC" w14:textId="77777777" w:rsidR="0029401A" w:rsidRDefault="00000000">
            <w:pPr>
              <w:widowControl/>
              <w:numPr>
                <w:ilvl w:val="255"/>
                <w:numId w:val="0"/>
              </w:numPr>
              <w:spacing w:line="360" w:lineRule="auto"/>
              <w:rPr>
                <w:rFonts w:asciiTheme="majorEastAsia" w:eastAsiaTheme="majorEastAsia" w:hAnsiTheme="majorEastAsia" w:cstheme="majorEastAsia" w:hint="eastAsia"/>
                <w:color w:val="000000"/>
                <w:sz w:val="24"/>
              </w:rPr>
            </w:pPr>
            <w:bookmarkStart w:id="7" w:name="_Hlk192698278"/>
            <w:r>
              <w:rPr>
                <w:rFonts w:asciiTheme="majorEastAsia" w:eastAsiaTheme="majorEastAsia" w:hAnsiTheme="majorEastAsia" w:cstheme="majorEastAsia" w:hint="eastAsia"/>
                <w:color w:val="000000"/>
                <w:sz w:val="24"/>
              </w:rPr>
              <w:t>组别</w:t>
            </w:r>
          </w:p>
        </w:tc>
        <w:tc>
          <w:tcPr>
            <w:tcW w:w="696" w:type="dxa"/>
            <w:tcBorders>
              <w:top w:val="single" w:sz="18" w:space="0" w:color="auto"/>
              <w:left w:val="nil"/>
              <w:bottom w:val="single" w:sz="4" w:space="0" w:color="000000"/>
              <w:right w:val="nil"/>
            </w:tcBorders>
            <w:shd w:val="clear" w:color="auto" w:fill="FFFFFF"/>
          </w:tcPr>
          <w:p w14:paraId="2456B0CB" w14:textId="77777777" w:rsidR="0029401A" w:rsidRDefault="00000000">
            <w:pPr>
              <w:widowControl/>
              <w:numPr>
                <w:ilvl w:val="255"/>
                <w:numId w:val="0"/>
              </w:numPr>
              <w:spacing w:line="360" w:lineRule="auto"/>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例数</w:t>
            </w:r>
          </w:p>
        </w:tc>
        <w:tc>
          <w:tcPr>
            <w:tcW w:w="1536" w:type="dxa"/>
            <w:tcBorders>
              <w:top w:val="single" w:sz="18" w:space="0" w:color="auto"/>
              <w:left w:val="nil"/>
              <w:bottom w:val="single" w:sz="4" w:space="0" w:color="000000"/>
              <w:right w:val="nil"/>
            </w:tcBorders>
            <w:shd w:val="clear" w:color="auto" w:fill="FFFFFF"/>
          </w:tcPr>
          <w:p w14:paraId="3963F6A1" w14:textId="77777777" w:rsidR="0029401A" w:rsidRDefault="00000000">
            <w:pPr>
              <w:widowControl/>
              <w:numPr>
                <w:ilvl w:val="255"/>
                <w:numId w:val="0"/>
              </w:numPr>
              <w:spacing w:line="360" w:lineRule="auto"/>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术前</w:t>
            </w:r>
          </w:p>
        </w:tc>
        <w:tc>
          <w:tcPr>
            <w:tcW w:w="0" w:type="auto"/>
            <w:tcBorders>
              <w:top w:val="single" w:sz="18" w:space="0" w:color="auto"/>
              <w:left w:val="nil"/>
              <w:bottom w:val="single" w:sz="4" w:space="0" w:color="000000"/>
              <w:right w:val="nil"/>
            </w:tcBorders>
            <w:shd w:val="clear" w:color="auto" w:fill="FFFFFF"/>
          </w:tcPr>
          <w:p w14:paraId="2E6E43F0" w14:textId="77777777" w:rsidR="0029401A" w:rsidRDefault="00000000">
            <w:pPr>
              <w:widowControl/>
              <w:numPr>
                <w:ilvl w:val="255"/>
                <w:numId w:val="0"/>
              </w:numPr>
              <w:spacing w:line="360" w:lineRule="auto"/>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术后</w:t>
            </w:r>
          </w:p>
        </w:tc>
        <w:tc>
          <w:tcPr>
            <w:tcW w:w="816" w:type="dxa"/>
            <w:tcBorders>
              <w:top w:val="single" w:sz="18" w:space="0" w:color="auto"/>
              <w:left w:val="nil"/>
              <w:bottom w:val="single" w:sz="4" w:space="0" w:color="000000"/>
              <w:right w:val="nil"/>
            </w:tcBorders>
            <w:shd w:val="clear" w:color="auto" w:fill="FFFFFF"/>
          </w:tcPr>
          <w:p w14:paraId="797EAD9A" w14:textId="77777777" w:rsidR="0029401A" w:rsidRDefault="00000000">
            <w:pPr>
              <w:widowControl/>
              <w:numPr>
                <w:ilvl w:val="255"/>
                <w:numId w:val="0"/>
              </w:numPr>
              <w:spacing w:line="360" w:lineRule="auto"/>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i/>
                <w:iCs/>
                <w:color w:val="000000"/>
                <w:sz w:val="24"/>
              </w:rPr>
              <w:t>t</w:t>
            </w:r>
            <w:r>
              <w:rPr>
                <w:rFonts w:asciiTheme="majorEastAsia" w:eastAsiaTheme="majorEastAsia" w:hAnsiTheme="majorEastAsia" w:cstheme="majorEastAsia" w:hint="eastAsia"/>
                <w:color w:val="000000"/>
                <w:sz w:val="24"/>
              </w:rPr>
              <w:t>值</w:t>
            </w:r>
          </w:p>
        </w:tc>
        <w:tc>
          <w:tcPr>
            <w:tcW w:w="1176" w:type="dxa"/>
            <w:tcBorders>
              <w:top w:val="single" w:sz="18" w:space="0" w:color="auto"/>
              <w:left w:val="nil"/>
              <w:bottom w:val="single" w:sz="4" w:space="0" w:color="000000"/>
              <w:right w:val="nil"/>
            </w:tcBorders>
            <w:shd w:val="clear" w:color="auto" w:fill="FFFFFF"/>
          </w:tcPr>
          <w:p w14:paraId="21969528" w14:textId="77777777" w:rsidR="0029401A" w:rsidRDefault="00000000">
            <w:pPr>
              <w:widowControl/>
              <w:numPr>
                <w:ilvl w:val="255"/>
                <w:numId w:val="0"/>
              </w:numPr>
              <w:spacing w:line="360" w:lineRule="auto"/>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P</w:t>
            </w:r>
          </w:p>
        </w:tc>
      </w:tr>
      <w:tr w:rsidR="0029401A" w14:paraId="585A34E4" w14:textId="77777777">
        <w:trPr>
          <w:trHeight w:val="578"/>
        </w:trPr>
        <w:tc>
          <w:tcPr>
            <w:tcW w:w="0" w:type="auto"/>
            <w:tcBorders>
              <w:top w:val="single" w:sz="4" w:space="0" w:color="000000"/>
              <w:left w:val="nil"/>
              <w:bottom w:val="nil"/>
              <w:right w:val="nil"/>
            </w:tcBorders>
            <w:shd w:val="clear" w:color="auto" w:fill="FFFFFF"/>
          </w:tcPr>
          <w:p w14:paraId="460DD031"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对照组</w:t>
            </w:r>
          </w:p>
        </w:tc>
        <w:tc>
          <w:tcPr>
            <w:tcW w:w="696" w:type="dxa"/>
            <w:tcBorders>
              <w:top w:val="single" w:sz="4" w:space="0" w:color="000000"/>
              <w:left w:val="nil"/>
              <w:bottom w:val="nil"/>
              <w:right w:val="nil"/>
            </w:tcBorders>
            <w:shd w:val="clear" w:color="auto" w:fill="FFFFFF"/>
          </w:tcPr>
          <w:p w14:paraId="14956389"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50</w:t>
            </w:r>
          </w:p>
        </w:tc>
        <w:tc>
          <w:tcPr>
            <w:tcW w:w="1536" w:type="dxa"/>
            <w:tcBorders>
              <w:top w:val="single" w:sz="4" w:space="0" w:color="000000"/>
              <w:left w:val="nil"/>
              <w:bottom w:val="nil"/>
              <w:right w:val="nil"/>
            </w:tcBorders>
            <w:shd w:val="clear" w:color="auto" w:fill="FFFFFF"/>
          </w:tcPr>
          <w:p w14:paraId="1A7EE9A3"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19.76±3.25</w:t>
            </w:r>
          </w:p>
        </w:tc>
        <w:tc>
          <w:tcPr>
            <w:tcW w:w="0" w:type="auto"/>
            <w:tcBorders>
              <w:top w:val="single" w:sz="4" w:space="0" w:color="000000"/>
              <w:left w:val="nil"/>
              <w:bottom w:val="nil"/>
              <w:right w:val="nil"/>
            </w:tcBorders>
            <w:shd w:val="clear" w:color="auto" w:fill="FFFFFF"/>
          </w:tcPr>
          <w:p w14:paraId="4426B1A4"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5.54±1.25</w:t>
            </w:r>
          </w:p>
        </w:tc>
        <w:tc>
          <w:tcPr>
            <w:tcW w:w="816" w:type="dxa"/>
            <w:tcBorders>
              <w:top w:val="single" w:sz="4" w:space="0" w:color="000000"/>
              <w:left w:val="nil"/>
              <w:bottom w:val="nil"/>
              <w:right w:val="nil"/>
            </w:tcBorders>
            <w:shd w:val="clear" w:color="auto" w:fill="FFFFFF"/>
          </w:tcPr>
          <w:p w14:paraId="2E7EFC8D" w14:textId="77777777" w:rsidR="0029401A" w:rsidRDefault="00000000">
            <w:pPr>
              <w:pStyle w:val="p1"/>
              <w:jc w:val="both"/>
              <w:rPr>
                <w:rFonts w:asciiTheme="majorEastAsia" w:eastAsiaTheme="majorEastAsia" w:hAnsiTheme="majorEastAsia" w:cstheme="majorEastAsia" w:hint="eastAsia"/>
              </w:rPr>
            </w:pPr>
            <w:r>
              <w:rPr>
                <w:rFonts w:asciiTheme="majorEastAsia" w:eastAsiaTheme="majorEastAsia" w:hAnsiTheme="majorEastAsia" w:cstheme="majorEastAsia" w:hint="eastAsia"/>
              </w:rPr>
              <w:t>28.88</w:t>
            </w:r>
          </w:p>
        </w:tc>
        <w:tc>
          <w:tcPr>
            <w:tcW w:w="1176" w:type="dxa"/>
            <w:tcBorders>
              <w:top w:val="single" w:sz="4" w:space="0" w:color="000000"/>
              <w:left w:val="nil"/>
              <w:bottom w:val="nil"/>
              <w:right w:val="nil"/>
            </w:tcBorders>
            <w:shd w:val="clear" w:color="auto" w:fill="FFFFFF"/>
          </w:tcPr>
          <w:p w14:paraId="497AD312"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&lt;0.05</w:t>
            </w:r>
          </w:p>
        </w:tc>
      </w:tr>
      <w:tr w:rsidR="0029401A" w14:paraId="36ABBB3C" w14:textId="77777777">
        <w:trPr>
          <w:trHeight w:val="568"/>
        </w:trPr>
        <w:tc>
          <w:tcPr>
            <w:tcW w:w="0" w:type="auto"/>
            <w:tcBorders>
              <w:top w:val="nil"/>
              <w:left w:val="nil"/>
              <w:bottom w:val="nil"/>
              <w:right w:val="nil"/>
            </w:tcBorders>
            <w:shd w:val="clear" w:color="auto" w:fill="FFFFFF"/>
          </w:tcPr>
          <w:p w14:paraId="6584118E"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观察组</w:t>
            </w:r>
          </w:p>
        </w:tc>
        <w:tc>
          <w:tcPr>
            <w:tcW w:w="696" w:type="dxa"/>
            <w:tcBorders>
              <w:top w:val="nil"/>
              <w:left w:val="nil"/>
              <w:bottom w:val="nil"/>
              <w:right w:val="nil"/>
            </w:tcBorders>
            <w:shd w:val="clear" w:color="auto" w:fill="FFFFFF"/>
          </w:tcPr>
          <w:p w14:paraId="6D5CD58E"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50</w:t>
            </w:r>
          </w:p>
        </w:tc>
        <w:tc>
          <w:tcPr>
            <w:tcW w:w="1536" w:type="dxa"/>
            <w:tcBorders>
              <w:top w:val="nil"/>
              <w:left w:val="nil"/>
              <w:bottom w:val="nil"/>
              <w:right w:val="nil"/>
            </w:tcBorders>
            <w:shd w:val="clear" w:color="auto" w:fill="FFFFFF"/>
          </w:tcPr>
          <w:p w14:paraId="1C18569F"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20.13±2.25</w:t>
            </w:r>
          </w:p>
        </w:tc>
        <w:tc>
          <w:tcPr>
            <w:tcW w:w="0" w:type="auto"/>
            <w:tcBorders>
              <w:top w:val="nil"/>
              <w:left w:val="nil"/>
              <w:bottom w:val="nil"/>
              <w:right w:val="nil"/>
            </w:tcBorders>
            <w:shd w:val="clear" w:color="auto" w:fill="FFFFFF"/>
          </w:tcPr>
          <w:p w14:paraId="0340711B"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9.96±2.86</w:t>
            </w:r>
          </w:p>
        </w:tc>
        <w:tc>
          <w:tcPr>
            <w:tcW w:w="816" w:type="dxa"/>
            <w:tcBorders>
              <w:top w:val="nil"/>
              <w:left w:val="nil"/>
              <w:bottom w:val="nil"/>
              <w:right w:val="nil"/>
            </w:tcBorders>
            <w:shd w:val="clear" w:color="auto" w:fill="FFFFFF"/>
          </w:tcPr>
          <w:p w14:paraId="5F9120C7" w14:textId="77777777" w:rsidR="0029401A" w:rsidRDefault="00000000">
            <w:pPr>
              <w:pStyle w:val="p1"/>
              <w:jc w:val="both"/>
              <w:rPr>
                <w:rFonts w:asciiTheme="majorEastAsia" w:eastAsiaTheme="majorEastAsia" w:hAnsiTheme="majorEastAsia" w:cstheme="majorEastAsia" w:hint="eastAsia"/>
              </w:rPr>
            </w:pPr>
            <w:r>
              <w:rPr>
                <w:rFonts w:asciiTheme="majorEastAsia" w:eastAsiaTheme="majorEastAsia" w:hAnsiTheme="majorEastAsia" w:cstheme="majorEastAsia" w:hint="eastAsia"/>
              </w:rPr>
              <w:t>19.76</w:t>
            </w:r>
          </w:p>
        </w:tc>
        <w:tc>
          <w:tcPr>
            <w:tcW w:w="1176" w:type="dxa"/>
            <w:tcBorders>
              <w:top w:val="nil"/>
              <w:left w:val="nil"/>
              <w:bottom w:val="nil"/>
              <w:right w:val="nil"/>
            </w:tcBorders>
            <w:shd w:val="clear" w:color="auto" w:fill="FFFFFF"/>
          </w:tcPr>
          <w:p w14:paraId="6C987479"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&lt;0.05</w:t>
            </w:r>
          </w:p>
        </w:tc>
      </w:tr>
      <w:bookmarkEnd w:id="7"/>
      <w:tr w:rsidR="0029401A" w14:paraId="21599A24" w14:textId="77777777">
        <w:trPr>
          <w:trHeight w:val="594"/>
        </w:trPr>
        <w:tc>
          <w:tcPr>
            <w:tcW w:w="0" w:type="auto"/>
            <w:tcBorders>
              <w:top w:val="nil"/>
              <w:left w:val="nil"/>
              <w:bottom w:val="nil"/>
              <w:right w:val="nil"/>
            </w:tcBorders>
            <w:shd w:val="clear" w:color="auto" w:fill="FFFFFF"/>
          </w:tcPr>
          <w:p w14:paraId="127AC2FF"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i/>
                <w:iCs/>
                <w:color w:val="000000"/>
                <w:sz w:val="24"/>
              </w:rPr>
              <w:t>t</w:t>
            </w:r>
            <w:r>
              <w:rPr>
                <w:rFonts w:asciiTheme="majorEastAsia" w:eastAsiaTheme="majorEastAsia" w:hAnsiTheme="majorEastAsia" w:cstheme="majorEastAsia" w:hint="eastAsia"/>
                <w:color w:val="000000"/>
                <w:sz w:val="24"/>
              </w:rPr>
              <w:t>值</w:t>
            </w:r>
          </w:p>
        </w:tc>
        <w:tc>
          <w:tcPr>
            <w:tcW w:w="696" w:type="dxa"/>
            <w:tcBorders>
              <w:top w:val="nil"/>
              <w:left w:val="nil"/>
              <w:bottom w:val="nil"/>
              <w:right w:val="nil"/>
            </w:tcBorders>
            <w:shd w:val="clear" w:color="auto" w:fill="FFFFFF"/>
          </w:tcPr>
          <w:p w14:paraId="07C87690" w14:textId="77777777" w:rsidR="0029401A" w:rsidRDefault="0029401A">
            <w:pPr>
              <w:widowControl/>
              <w:numPr>
                <w:ilvl w:val="255"/>
                <w:numId w:val="0"/>
              </w:numPr>
              <w:rPr>
                <w:rFonts w:asciiTheme="majorEastAsia" w:eastAsiaTheme="majorEastAsia" w:hAnsiTheme="majorEastAsia" w:cstheme="majorEastAsia" w:hint="eastAsia"/>
                <w:color w:val="000000"/>
                <w:sz w:val="24"/>
              </w:rPr>
            </w:pPr>
          </w:p>
        </w:tc>
        <w:tc>
          <w:tcPr>
            <w:tcW w:w="1536" w:type="dxa"/>
            <w:tcBorders>
              <w:top w:val="nil"/>
              <w:left w:val="nil"/>
              <w:bottom w:val="nil"/>
              <w:right w:val="nil"/>
            </w:tcBorders>
            <w:shd w:val="clear" w:color="auto" w:fill="FFFFFF"/>
          </w:tcPr>
          <w:p w14:paraId="27ADA43C"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-0.603</w:t>
            </w:r>
          </w:p>
        </w:tc>
        <w:tc>
          <w:tcPr>
            <w:tcW w:w="0" w:type="auto"/>
            <w:tcBorders>
              <w:top w:val="nil"/>
              <w:left w:val="nil"/>
              <w:bottom w:val="nil"/>
              <w:right w:val="nil"/>
            </w:tcBorders>
            <w:shd w:val="clear" w:color="auto" w:fill="FFFFFF"/>
          </w:tcPr>
          <w:p w14:paraId="6D8E3C82"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-10.014</w:t>
            </w:r>
          </w:p>
        </w:tc>
        <w:tc>
          <w:tcPr>
            <w:tcW w:w="816" w:type="dxa"/>
            <w:tcBorders>
              <w:top w:val="nil"/>
              <w:left w:val="nil"/>
              <w:bottom w:val="nil"/>
              <w:right w:val="nil"/>
            </w:tcBorders>
            <w:shd w:val="clear" w:color="auto" w:fill="FFFFFF"/>
          </w:tcPr>
          <w:p w14:paraId="5C4F03D8" w14:textId="77777777" w:rsidR="0029401A" w:rsidRDefault="0029401A">
            <w:pPr>
              <w:widowControl/>
              <w:numPr>
                <w:ilvl w:val="255"/>
                <w:numId w:val="0"/>
              </w:numPr>
              <w:rPr>
                <w:rFonts w:asciiTheme="majorEastAsia" w:eastAsiaTheme="majorEastAsia" w:hAnsiTheme="majorEastAsia" w:cstheme="majorEastAsia" w:hint="eastAsia"/>
                <w:color w:val="000000"/>
                <w:sz w:val="24"/>
              </w:rPr>
            </w:pPr>
          </w:p>
        </w:tc>
        <w:tc>
          <w:tcPr>
            <w:tcW w:w="1176" w:type="dxa"/>
            <w:tcBorders>
              <w:top w:val="nil"/>
              <w:left w:val="nil"/>
              <w:bottom w:val="nil"/>
              <w:right w:val="nil"/>
            </w:tcBorders>
            <w:shd w:val="clear" w:color="auto" w:fill="FFFFFF"/>
          </w:tcPr>
          <w:p w14:paraId="05BAA876" w14:textId="77777777" w:rsidR="0029401A" w:rsidRDefault="0029401A">
            <w:pPr>
              <w:widowControl/>
              <w:numPr>
                <w:ilvl w:val="255"/>
                <w:numId w:val="0"/>
              </w:numPr>
              <w:rPr>
                <w:rFonts w:asciiTheme="majorEastAsia" w:eastAsiaTheme="majorEastAsia" w:hAnsiTheme="majorEastAsia" w:cstheme="majorEastAsia" w:hint="eastAsia"/>
                <w:color w:val="000000"/>
                <w:sz w:val="24"/>
              </w:rPr>
            </w:pPr>
          </w:p>
        </w:tc>
      </w:tr>
      <w:tr w:rsidR="0029401A" w14:paraId="37927B6C" w14:textId="77777777">
        <w:trPr>
          <w:trHeight w:val="542"/>
        </w:trPr>
        <w:tc>
          <w:tcPr>
            <w:tcW w:w="0" w:type="auto"/>
            <w:tcBorders>
              <w:top w:val="nil"/>
              <w:left w:val="nil"/>
              <w:bottom w:val="single" w:sz="18" w:space="0" w:color="auto"/>
              <w:right w:val="nil"/>
            </w:tcBorders>
            <w:shd w:val="clear" w:color="auto" w:fill="FFFFFF"/>
          </w:tcPr>
          <w:p w14:paraId="16E06FB4"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P值</w:t>
            </w:r>
          </w:p>
        </w:tc>
        <w:tc>
          <w:tcPr>
            <w:tcW w:w="696" w:type="dxa"/>
            <w:tcBorders>
              <w:top w:val="nil"/>
              <w:left w:val="nil"/>
              <w:bottom w:val="single" w:sz="18" w:space="0" w:color="auto"/>
              <w:right w:val="nil"/>
            </w:tcBorders>
            <w:shd w:val="clear" w:color="auto" w:fill="FFFFFF"/>
          </w:tcPr>
          <w:p w14:paraId="3428E191" w14:textId="77777777" w:rsidR="0029401A" w:rsidRDefault="0029401A">
            <w:pPr>
              <w:widowControl/>
              <w:numPr>
                <w:ilvl w:val="255"/>
                <w:numId w:val="0"/>
              </w:numPr>
              <w:rPr>
                <w:rFonts w:asciiTheme="majorEastAsia" w:eastAsiaTheme="majorEastAsia" w:hAnsiTheme="majorEastAsia" w:cstheme="majorEastAsia" w:hint="eastAsia"/>
                <w:color w:val="000000"/>
                <w:sz w:val="24"/>
              </w:rPr>
            </w:pPr>
          </w:p>
        </w:tc>
        <w:tc>
          <w:tcPr>
            <w:tcW w:w="1536" w:type="dxa"/>
            <w:tcBorders>
              <w:top w:val="nil"/>
              <w:left w:val="nil"/>
              <w:bottom w:val="single" w:sz="18" w:space="0" w:color="auto"/>
              <w:right w:val="nil"/>
            </w:tcBorders>
            <w:shd w:val="clear" w:color="auto" w:fill="FFFFFF"/>
          </w:tcPr>
          <w:p w14:paraId="4D4E67C5"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0.565</w:t>
            </w:r>
          </w:p>
        </w:tc>
        <w:tc>
          <w:tcPr>
            <w:tcW w:w="0" w:type="auto"/>
            <w:tcBorders>
              <w:top w:val="nil"/>
              <w:left w:val="nil"/>
              <w:bottom w:val="single" w:sz="18" w:space="0" w:color="auto"/>
              <w:right w:val="nil"/>
            </w:tcBorders>
            <w:shd w:val="clear" w:color="auto" w:fill="FFFFFF"/>
          </w:tcPr>
          <w:p w14:paraId="068ACF61" w14:textId="77777777" w:rsidR="0029401A" w:rsidRDefault="00000000">
            <w:pPr>
              <w:widowControl/>
              <w:numPr>
                <w:ilvl w:val="255"/>
                <w:numId w:val="0"/>
              </w:numP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&lt;0.001</w:t>
            </w:r>
          </w:p>
        </w:tc>
        <w:tc>
          <w:tcPr>
            <w:tcW w:w="816" w:type="dxa"/>
            <w:tcBorders>
              <w:top w:val="nil"/>
              <w:left w:val="nil"/>
              <w:bottom w:val="single" w:sz="18" w:space="0" w:color="auto"/>
              <w:right w:val="nil"/>
            </w:tcBorders>
            <w:shd w:val="clear" w:color="auto" w:fill="FFFFFF"/>
          </w:tcPr>
          <w:p w14:paraId="1FA0944A" w14:textId="77777777" w:rsidR="0029401A" w:rsidRDefault="0029401A">
            <w:pPr>
              <w:widowControl/>
              <w:numPr>
                <w:ilvl w:val="255"/>
                <w:numId w:val="0"/>
              </w:numPr>
              <w:rPr>
                <w:rFonts w:asciiTheme="majorEastAsia" w:eastAsiaTheme="majorEastAsia" w:hAnsiTheme="majorEastAsia" w:cstheme="majorEastAsia" w:hint="eastAsia"/>
                <w:color w:val="000000"/>
                <w:sz w:val="24"/>
              </w:rPr>
            </w:pPr>
          </w:p>
        </w:tc>
        <w:tc>
          <w:tcPr>
            <w:tcW w:w="1176" w:type="dxa"/>
            <w:tcBorders>
              <w:top w:val="nil"/>
              <w:left w:val="nil"/>
              <w:bottom w:val="single" w:sz="18" w:space="0" w:color="auto"/>
              <w:right w:val="nil"/>
            </w:tcBorders>
            <w:shd w:val="clear" w:color="auto" w:fill="FFFFFF"/>
          </w:tcPr>
          <w:p w14:paraId="3659BF9A" w14:textId="77777777" w:rsidR="0029401A" w:rsidRDefault="0029401A">
            <w:pPr>
              <w:widowControl/>
              <w:numPr>
                <w:ilvl w:val="255"/>
                <w:numId w:val="0"/>
              </w:numPr>
              <w:rPr>
                <w:rFonts w:asciiTheme="majorEastAsia" w:eastAsiaTheme="majorEastAsia" w:hAnsiTheme="majorEastAsia" w:cstheme="majorEastAsia" w:hint="eastAsia"/>
                <w:color w:val="000000"/>
                <w:sz w:val="24"/>
              </w:rPr>
            </w:pPr>
          </w:p>
        </w:tc>
      </w:tr>
    </w:tbl>
    <w:p w14:paraId="297201C3" w14:textId="77777777" w:rsidR="0029401A" w:rsidRDefault="0029401A">
      <w:pPr>
        <w:widowControl/>
        <w:numPr>
          <w:ilvl w:val="255"/>
          <w:numId w:val="0"/>
        </w:numPr>
        <w:jc w:val="center"/>
        <w:rPr>
          <w:rFonts w:asciiTheme="majorEastAsia" w:eastAsiaTheme="majorEastAsia" w:hAnsiTheme="majorEastAsia" w:cstheme="majorEastAsia" w:hint="eastAsia"/>
          <w:sz w:val="24"/>
        </w:rPr>
      </w:pPr>
    </w:p>
    <w:p w14:paraId="195B4BF6" w14:textId="77777777" w:rsidR="0029401A" w:rsidRDefault="0029401A">
      <w:pPr>
        <w:widowControl/>
        <w:numPr>
          <w:ilvl w:val="255"/>
          <w:numId w:val="0"/>
        </w:numPr>
        <w:spacing w:line="360" w:lineRule="auto"/>
        <w:jc w:val="left"/>
        <w:rPr>
          <w:rFonts w:asciiTheme="majorEastAsia" w:eastAsiaTheme="majorEastAsia" w:hAnsiTheme="majorEastAsia" w:cstheme="majorEastAsia" w:hint="eastAsia"/>
          <w:sz w:val="24"/>
        </w:rPr>
      </w:pPr>
    </w:p>
    <w:p w14:paraId="32734A74" w14:textId="77777777" w:rsidR="0029401A" w:rsidRDefault="0029401A">
      <w:pPr>
        <w:widowControl/>
        <w:numPr>
          <w:ilvl w:val="255"/>
          <w:numId w:val="0"/>
        </w:numPr>
        <w:spacing w:line="360" w:lineRule="auto"/>
        <w:rPr>
          <w:rFonts w:ascii="Times New Roman" w:eastAsiaTheme="majorEastAsia" w:hAnsi="Times New Roman" w:cs="Times New Roman"/>
          <w:b/>
          <w:bCs/>
          <w:sz w:val="24"/>
        </w:rPr>
      </w:pPr>
    </w:p>
    <w:p w14:paraId="14AB2C66" w14:textId="77777777" w:rsidR="0029401A" w:rsidRDefault="0029401A">
      <w:pPr>
        <w:widowControl/>
        <w:numPr>
          <w:ilvl w:val="255"/>
          <w:numId w:val="0"/>
        </w:numPr>
        <w:spacing w:line="360" w:lineRule="auto"/>
        <w:rPr>
          <w:rFonts w:ascii="Times New Roman" w:eastAsiaTheme="majorEastAsia" w:hAnsi="Times New Roman" w:cs="Times New Roman"/>
          <w:b/>
          <w:bCs/>
          <w:sz w:val="24"/>
        </w:rPr>
      </w:pPr>
    </w:p>
    <w:p w14:paraId="4469F7EE" w14:textId="77777777" w:rsidR="0029401A" w:rsidRDefault="0029401A">
      <w:pPr>
        <w:widowControl/>
        <w:numPr>
          <w:ilvl w:val="255"/>
          <w:numId w:val="0"/>
        </w:numPr>
        <w:spacing w:line="360" w:lineRule="auto"/>
        <w:rPr>
          <w:rFonts w:ascii="Times New Roman" w:eastAsiaTheme="majorEastAsia" w:hAnsi="Times New Roman" w:cs="Times New Roman"/>
          <w:b/>
          <w:bCs/>
          <w:sz w:val="24"/>
        </w:rPr>
      </w:pPr>
    </w:p>
    <w:p w14:paraId="4E2C003B" w14:textId="77777777" w:rsidR="0029401A" w:rsidRDefault="0029401A">
      <w:pPr>
        <w:widowControl/>
        <w:numPr>
          <w:ilvl w:val="255"/>
          <w:numId w:val="0"/>
        </w:numPr>
        <w:spacing w:line="360" w:lineRule="auto"/>
        <w:rPr>
          <w:rFonts w:ascii="Times New Roman" w:eastAsiaTheme="majorEastAsia" w:hAnsi="Times New Roman" w:cs="Times New Roman"/>
          <w:b/>
          <w:bCs/>
          <w:sz w:val="24"/>
        </w:rPr>
      </w:pPr>
    </w:p>
    <w:p w14:paraId="31918C09" w14:textId="77777777" w:rsidR="0029401A" w:rsidRDefault="0029401A">
      <w:pPr>
        <w:widowControl/>
        <w:numPr>
          <w:ilvl w:val="255"/>
          <w:numId w:val="0"/>
        </w:numPr>
        <w:spacing w:line="360" w:lineRule="auto"/>
        <w:rPr>
          <w:rFonts w:ascii="Times New Roman" w:eastAsiaTheme="majorEastAsia" w:hAnsi="Times New Roman" w:cs="Times New Roman"/>
          <w:b/>
          <w:bCs/>
          <w:sz w:val="24"/>
        </w:rPr>
      </w:pPr>
    </w:p>
    <w:p w14:paraId="6EF5D20B" w14:textId="77777777" w:rsidR="0029401A" w:rsidRDefault="0029401A">
      <w:pPr>
        <w:widowControl/>
        <w:numPr>
          <w:ilvl w:val="255"/>
          <w:numId w:val="0"/>
        </w:numPr>
        <w:spacing w:line="360" w:lineRule="auto"/>
        <w:rPr>
          <w:rFonts w:ascii="Times New Roman" w:eastAsiaTheme="majorEastAsia" w:hAnsi="Times New Roman" w:cs="Times New Roman"/>
          <w:b/>
          <w:bCs/>
          <w:sz w:val="24"/>
        </w:rPr>
      </w:pPr>
    </w:p>
    <w:p w14:paraId="0C92F43D" w14:textId="77777777" w:rsidR="0029401A" w:rsidRDefault="00000000">
      <w:pPr>
        <w:widowControl/>
        <w:numPr>
          <w:ilvl w:val="255"/>
          <w:numId w:val="0"/>
        </w:numPr>
        <w:spacing w:line="360" w:lineRule="auto"/>
        <w:rPr>
          <w:rFonts w:ascii="Times New Roman" w:eastAsiaTheme="majorEastAsia" w:hAnsi="Times New Roman" w:cs="Times New Roman"/>
          <w:sz w:val="24"/>
        </w:rPr>
      </w:pPr>
      <w:r>
        <w:rPr>
          <w:rFonts w:ascii="Times New Roman" w:eastAsiaTheme="majorEastAsia" w:hAnsi="Times New Roman" w:cs="Times New Roman"/>
          <w:b/>
          <w:bCs/>
          <w:sz w:val="24"/>
        </w:rPr>
        <w:t>2.</w:t>
      </w:r>
      <w:r>
        <w:rPr>
          <w:rFonts w:ascii="Times New Roman" w:eastAsiaTheme="majorEastAsia" w:hAnsi="Times New Roman" w:cs="Times New Roman" w:hint="eastAsia"/>
          <w:b/>
          <w:bCs/>
          <w:sz w:val="24"/>
        </w:rPr>
        <w:t>2</w:t>
      </w:r>
      <w:r>
        <w:rPr>
          <w:rFonts w:ascii="Times New Roman" w:eastAsiaTheme="majorEastAsia" w:hAnsi="Times New Roman" w:cs="Times New Roman"/>
          <w:b/>
          <w:bCs/>
          <w:sz w:val="24"/>
        </w:rPr>
        <w:t>两组</w:t>
      </w:r>
      <w:r>
        <w:rPr>
          <w:rFonts w:ascii="Times New Roman" w:eastAsiaTheme="majorEastAsia" w:hAnsi="Times New Roman" w:cs="Times New Roman" w:hint="eastAsia"/>
          <w:b/>
          <w:bCs/>
          <w:sz w:val="24"/>
        </w:rPr>
        <w:t>患者控尿</w:t>
      </w:r>
      <w:r>
        <w:rPr>
          <w:rFonts w:ascii="Times New Roman" w:eastAsiaTheme="majorEastAsia" w:hAnsi="Times New Roman" w:cs="Times New Roman"/>
          <w:b/>
          <w:bCs/>
          <w:sz w:val="24"/>
        </w:rPr>
        <w:t>能力比较</w:t>
      </w:r>
      <w:r>
        <w:rPr>
          <w:rFonts w:ascii="Times New Roman" w:eastAsiaTheme="majorEastAsia" w:hAnsi="Times New Roman" w:cs="Times New Roman" w:hint="eastAsia"/>
          <w:b/>
          <w:bCs/>
          <w:sz w:val="24"/>
        </w:rPr>
        <w:t xml:space="preserve">  </w:t>
      </w:r>
      <w:r>
        <w:rPr>
          <w:rFonts w:ascii="Times New Roman" w:eastAsiaTheme="majorEastAsia" w:hAnsi="Times New Roman" w:cs="Times New Roman" w:hint="eastAsia"/>
          <w:kern w:val="20"/>
          <w:sz w:val="24"/>
        </w:rPr>
        <w:t>术前两组患者控尿能力比较无明显差异</w:t>
      </w:r>
      <w:r>
        <w:rPr>
          <w:rFonts w:ascii="Times New Roman" w:eastAsiaTheme="majorEastAsia" w:hAnsi="Times New Roman" w:cs="Times New Roman"/>
          <w:sz w:val="24"/>
        </w:rPr>
        <w:t>（</w:t>
      </w:r>
      <w:r>
        <w:rPr>
          <w:rFonts w:ascii="Times New Roman" w:eastAsiaTheme="majorEastAsia" w:hAnsi="Times New Roman" w:cs="Times New Roman"/>
          <w:i/>
          <w:iCs/>
          <w:sz w:val="24"/>
        </w:rPr>
        <w:t>P</w:t>
      </w:r>
      <w:r>
        <w:rPr>
          <w:rFonts w:ascii="Times New Roman" w:eastAsiaTheme="majorEastAsia" w:hAnsi="Times New Roman" w:cs="Times New Roman" w:hint="eastAsia"/>
          <w:i/>
          <w:iCs/>
          <w:sz w:val="24"/>
        </w:rPr>
        <w:t>＞</w:t>
      </w:r>
      <w:r>
        <w:rPr>
          <w:rFonts w:ascii="Times New Roman" w:eastAsiaTheme="majorEastAsia" w:hAnsi="Times New Roman" w:cs="Times New Roman"/>
          <w:sz w:val="24"/>
        </w:rPr>
        <w:t>0.05</w:t>
      </w:r>
      <w:r>
        <w:rPr>
          <w:rFonts w:ascii="Times New Roman" w:eastAsiaTheme="majorEastAsia" w:hAnsi="Times New Roman" w:cs="Times New Roman"/>
          <w:sz w:val="24"/>
        </w:rPr>
        <w:t>）</w:t>
      </w:r>
      <w:r>
        <w:rPr>
          <w:rFonts w:ascii="Times New Roman" w:eastAsiaTheme="majorEastAsia" w:hAnsi="Times New Roman" w:cs="Times New Roman" w:hint="eastAsia"/>
          <w:sz w:val="24"/>
        </w:rPr>
        <w:t>，术后</w:t>
      </w:r>
      <w:r>
        <w:rPr>
          <w:rFonts w:ascii="Times New Roman" w:eastAsiaTheme="majorEastAsia" w:hAnsi="Times New Roman" w:cs="Times New Roman"/>
          <w:sz w:val="24"/>
        </w:rPr>
        <w:t>观察</w:t>
      </w:r>
      <w:r>
        <w:rPr>
          <w:rFonts w:ascii="Times New Roman" w:eastAsiaTheme="majorEastAsia" w:hAnsi="Times New Roman" w:cs="Times New Roman"/>
          <w:kern w:val="20"/>
          <w:sz w:val="24"/>
        </w:rPr>
        <w:t>组</w:t>
      </w:r>
      <w:r>
        <w:rPr>
          <w:rFonts w:ascii="Times New Roman" w:eastAsiaTheme="majorEastAsia" w:hAnsi="Times New Roman" w:cs="Times New Roman" w:hint="eastAsia"/>
          <w:kern w:val="20"/>
          <w:sz w:val="24"/>
        </w:rPr>
        <w:t>控尿</w:t>
      </w:r>
      <w:r>
        <w:rPr>
          <w:rFonts w:ascii="Times New Roman" w:eastAsiaTheme="majorEastAsia" w:hAnsi="Times New Roman" w:cs="Times New Roman"/>
          <w:kern w:val="20"/>
          <w:sz w:val="24"/>
        </w:rPr>
        <w:t>能力高于对照组，</w:t>
      </w:r>
      <w:r>
        <w:rPr>
          <w:rFonts w:ascii="Times New Roman" w:eastAsiaTheme="majorEastAsia" w:hAnsi="Times New Roman" w:cs="Times New Roman"/>
          <w:sz w:val="24"/>
        </w:rPr>
        <w:t>差异有统计学意义（</w:t>
      </w:r>
      <w:r>
        <w:rPr>
          <w:rFonts w:ascii="Times New Roman" w:eastAsiaTheme="majorEastAsia" w:hAnsi="Times New Roman" w:cs="Times New Roman"/>
          <w:i/>
          <w:iCs/>
          <w:sz w:val="24"/>
        </w:rPr>
        <w:t>P</w:t>
      </w:r>
      <w:r>
        <w:rPr>
          <w:rFonts w:ascii="Times New Roman" w:eastAsiaTheme="majorEastAsia" w:hAnsi="Times New Roman" w:cs="Times New Roman"/>
          <w:sz w:val="24"/>
        </w:rPr>
        <w:t>&lt;0.05</w:t>
      </w:r>
      <w:r>
        <w:rPr>
          <w:rFonts w:ascii="Times New Roman" w:eastAsiaTheme="majorEastAsia" w:hAnsi="Times New Roman" w:cs="Times New Roman"/>
          <w:sz w:val="24"/>
        </w:rPr>
        <w:t>），</w:t>
      </w:r>
      <w:r>
        <w:rPr>
          <w:rFonts w:ascii="Times New Roman" w:eastAsiaTheme="majorEastAsia" w:hAnsi="Times New Roman" w:cs="Times New Roman" w:hint="eastAsia"/>
          <w:sz w:val="24"/>
        </w:rPr>
        <w:t>详</w:t>
      </w:r>
      <w:r>
        <w:rPr>
          <w:rFonts w:ascii="Times New Roman" w:eastAsiaTheme="majorEastAsia" w:hAnsi="Times New Roman" w:cs="Times New Roman"/>
          <w:sz w:val="24"/>
        </w:rPr>
        <w:t>见表</w:t>
      </w:r>
      <w:r>
        <w:rPr>
          <w:rFonts w:ascii="Times New Roman" w:eastAsiaTheme="majorEastAsia" w:hAnsi="Times New Roman" w:cs="Times New Roman" w:hint="eastAsia"/>
          <w:sz w:val="24"/>
        </w:rPr>
        <w:t>2</w:t>
      </w:r>
      <w:r>
        <w:rPr>
          <w:rFonts w:ascii="Times New Roman" w:eastAsiaTheme="majorEastAsia" w:hAnsi="Times New Roman" w:cs="Times New Roman"/>
          <w:sz w:val="24"/>
        </w:rPr>
        <w:t>。</w:t>
      </w:r>
    </w:p>
    <w:p w14:paraId="1455B03F" w14:textId="77777777" w:rsidR="0029401A" w:rsidRDefault="00000000">
      <w:pPr>
        <w:widowControl/>
        <w:numPr>
          <w:ilvl w:val="255"/>
          <w:numId w:val="0"/>
        </w:numPr>
        <w:spacing w:line="360" w:lineRule="auto"/>
        <w:jc w:val="center"/>
        <w:rPr>
          <w:rFonts w:ascii="Times New Roman" w:eastAsiaTheme="majorEastAsia" w:hAnsi="Times New Roman" w:cs="Times New Roman"/>
          <w:sz w:val="24"/>
        </w:rPr>
      </w:pPr>
      <w:r>
        <w:rPr>
          <w:rFonts w:ascii="Times New Roman" w:eastAsiaTheme="majorEastAsia" w:hAnsi="Times New Roman" w:cs="Times New Roman"/>
          <w:sz w:val="24"/>
        </w:rPr>
        <w:t>表</w:t>
      </w:r>
      <w:r>
        <w:rPr>
          <w:rFonts w:ascii="Times New Roman" w:eastAsiaTheme="majorEastAsia" w:hAnsi="Times New Roman" w:cs="Times New Roman" w:hint="eastAsia"/>
          <w:sz w:val="24"/>
        </w:rPr>
        <w:t>2</w:t>
      </w:r>
      <w:r>
        <w:rPr>
          <w:rFonts w:ascii="Times New Roman" w:eastAsiaTheme="majorEastAsia" w:hAnsi="Times New Roman" w:cs="Times New Roman"/>
          <w:sz w:val="24"/>
        </w:rPr>
        <w:t xml:space="preserve">  </w:t>
      </w:r>
      <w:r>
        <w:rPr>
          <w:rFonts w:ascii="Times New Roman" w:eastAsiaTheme="majorEastAsia" w:hAnsi="Times New Roman" w:cs="Times New Roman"/>
          <w:sz w:val="24"/>
        </w:rPr>
        <w:t>两组</w:t>
      </w:r>
      <w:r>
        <w:rPr>
          <w:rFonts w:ascii="Times New Roman" w:eastAsiaTheme="majorEastAsia" w:hAnsi="Times New Roman" w:cs="Times New Roman" w:hint="eastAsia"/>
          <w:sz w:val="24"/>
        </w:rPr>
        <w:t>控尿</w:t>
      </w:r>
      <w:r>
        <w:rPr>
          <w:rFonts w:ascii="Times New Roman" w:eastAsiaTheme="majorEastAsia" w:hAnsi="Times New Roman" w:cs="Times New Roman"/>
          <w:sz w:val="24"/>
        </w:rPr>
        <w:t>能力比较</w:t>
      </w:r>
    </w:p>
    <w:tbl>
      <w:tblPr>
        <w:tblpPr w:leftFromText="180" w:rightFromText="180" w:vertAnchor="text" w:horzAnchor="page" w:tblpXSpec="center" w:tblpY="341"/>
        <w:tblOverlap w:val="never"/>
        <w:tblW w:w="0" w:type="auto"/>
        <w:jc w:val="center"/>
        <w:tblBorders>
          <w:top w:val="single" w:sz="4" w:space="0" w:color="auto"/>
          <w:bottom w:val="single" w:sz="4" w:space="0" w:color="auto"/>
          <w:right w:val="single" w:sz="4" w:space="0" w:color="auto"/>
        </w:tblBorders>
        <w:tblLook w:val="04A0" w:firstRow="1" w:lastRow="0" w:firstColumn="1" w:lastColumn="0" w:noHBand="0" w:noVBand="1"/>
      </w:tblPr>
      <w:tblGrid>
        <w:gridCol w:w="420"/>
        <w:gridCol w:w="420"/>
        <w:gridCol w:w="728"/>
        <w:gridCol w:w="1343"/>
        <w:gridCol w:w="728"/>
        <w:gridCol w:w="1343"/>
        <w:gridCol w:w="831"/>
        <w:gridCol w:w="831"/>
        <w:gridCol w:w="831"/>
        <w:gridCol w:w="831"/>
      </w:tblGrid>
      <w:tr w:rsidR="0029401A" w14:paraId="133F3A38" w14:textId="77777777">
        <w:trPr>
          <w:trHeight w:val="23"/>
          <w:jc w:val="center"/>
        </w:trPr>
        <w:tc>
          <w:tcPr>
            <w:tcW w:w="680" w:type="dxa"/>
            <w:vMerge w:val="restart"/>
            <w:tcBorders>
              <w:top w:val="single" w:sz="18" w:space="0" w:color="auto"/>
              <w:tl2br w:val="nil"/>
            </w:tcBorders>
            <w:shd w:val="clear" w:color="auto" w:fill="FFFFFF"/>
          </w:tcPr>
          <w:p w14:paraId="524E9D5E"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bookmarkStart w:id="8" w:name="OLE_LINK1"/>
            <w:r>
              <w:rPr>
                <w:rFonts w:asciiTheme="majorEastAsia" w:eastAsiaTheme="majorEastAsia" w:hAnsiTheme="majorEastAsia" w:cstheme="majorEastAsia" w:hint="eastAsia"/>
                <w:color w:val="000000"/>
                <w:sz w:val="24"/>
              </w:rPr>
              <w:t>组别</w:t>
            </w:r>
          </w:p>
        </w:tc>
        <w:tc>
          <w:tcPr>
            <w:tcW w:w="680" w:type="dxa"/>
            <w:vMerge w:val="restart"/>
            <w:tcBorders>
              <w:top w:val="single" w:sz="18" w:space="0" w:color="auto"/>
            </w:tcBorders>
            <w:shd w:val="clear" w:color="auto" w:fill="FFFFFF"/>
          </w:tcPr>
          <w:p w14:paraId="21642193"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例数</w:t>
            </w:r>
          </w:p>
        </w:tc>
        <w:tc>
          <w:tcPr>
            <w:tcW w:w="1565" w:type="dxa"/>
            <w:gridSpan w:val="2"/>
            <w:tcBorders>
              <w:top w:val="single" w:sz="18" w:space="0" w:color="auto"/>
            </w:tcBorders>
            <w:shd w:val="clear" w:color="auto" w:fill="FFFFFF"/>
          </w:tcPr>
          <w:p w14:paraId="63B8C7E6"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24h排尿次数（次）</w:t>
            </w:r>
          </w:p>
        </w:tc>
        <w:tc>
          <w:tcPr>
            <w:tcW w:w="1565" w:type="dxa"/>
            <w:gridSpan w:val="2"/>
            <w:tcBorders>
              <w:top w:val="single" w:sz="18" w:space="0" w:color="auto"/>
            </w:tcBorders>
            <w:shd w:val="clear" w:color="auto" w:fill="FFFFFF"/>
          </w:tcPr>
          <w:p w14:paraId="7F55B315"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24h漏尿次数（次）</w:t>
            </w:r>
          </w:p>
        </w:tc>
        <w:tc>
          <w:tcPr>
            <w:tcW w:w="1890" w:type="dxa"/>
            <w:gridSpan w:val="2"/>
            <w:tcBorders>
              <w:top w:val="single" w:sz="18" w:space="0" w:color="auto"/>
            </w:tcBorders>
            <w:shd w:val="clear" w:color="auto" w:fill="FFFFFF"/>
          </w:tcPr>
          <w:p w14:paraId="3F7D645B"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每次排尿量（mL）</w:t>
            </w:r>
          </w:p>
        </w:tc>
        <w:tc>
          <w:tcPr>
            <w:tcW w:w="1825" w:type="dxa"/>
            <w:gridSpan w:val="2"/>
            <w:tcBorders>
              <w:top w:val="single" w:sz="18" w:space="0" w:color="auto"/>
              <w:right w:val="nil"/>
            </w:tcBorders>
            <w:shd w:val="clear" w:color="auto" w:fill="FFFFFF"/>
          </w:tcPr>
          <w:p w14:paraId="3A401094"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残余尿量（mL）</w:t>
            </w:r>
          </w:p>
        </w:tc>
      </w:tr>
      <w:tr w:rsidR="0029401A" w14:paraId="1F53A9FD" w14:textId="77777777">
        <w:trPr>
          <w:trHeight w:val="23"/>
          <w:jc w:val="center"/>
        </w:trPr>
        <w:tc>
          <w:tcPr>
            <w:tcW w:w="680" w:type="dxa"/>
            <w:vMerge/>
            <w:tcBorders>
              <w:bottom w:val="single" w:sz="12" w:space="0" w:color="auto"/>
            </w:tcBorders>
            <w:shd w:val="clear" w:color="auto" w:fill="FFFFFF"/>
          </w:tcPr>
          <w:p w14:paraId="6F745142" w14:textId="77777777" w:rsidR="0029401A" w:rsidRDefault="0029401A">
            <w:pPr>
              <w:widowControl/>
              <w:numPr>
                <w:ilvl w:val="255"/>
                <w:numId w:val="0"/>
              </w:numPr>
              <w:spacing w:line="360" w:lineRule="auto"/>
              <w:jc w:val="center"/>
              <w:rPr>
                <w:rFonts w:asciiTheme="majorEastAsia" w:eastAsiaTheme="majorEastAsia" w:hAnsiTheme="majorEastAsia" w:cstheme="majorEastAsia" w:hint="eastAsia"/>
                <w:color w:val="000000"/>
                <w:sz w:val="24"/>
              </w:rPr>
            </w:pPr>
          </w:p>
        </w:tc>
        <w:tc>
          <w:tcPr>
            <w:tcW w:w="680" w:type="dxa"/>
            <w:vMerge/>
            <w:tcBorders>
              <w:bottom w:val="single" w:sz="12" w:space="0" w:color="auto"/>
            </w:tcBorders>
            <w:shd w:val="clear" w:color="auto" w:fill="FFFFFF"/>
          </w:tcPr>
          <w:p w14:paraId="2CDCAA9A" w14:textId="77777777" w:rsidR="0029401A" w:rsidRDefault="0029401A">
            <w:pPr>
              <w:widowControl/>
              <w:numPr>
                <w:ilvl w:val="255"/>
                <w:numId w:val="0"/>
              </w:numPr>
              <w:spacing w:line="360" w:lineRule="auto"/>
              <w:jc w:val="center"/>
              <w:rPr>
                <w:rFonts w:asciiTheme="majorEastAsia" w:eastAsiaTheme="majorEastAsia" w:hAnsiTheme="majorEastAsia" w:cstheme="majorEastAsia" w:hint="eastAsia"/>
                <w:color w:val="000000"/>
                <w:sz w:val="24"/>
              </w:rPr>
            </w:pPr>
          </w:p>
        </w:tc>
        <w:tc>
          <w:tcPr>
            <w:tcW w:w="815" w:type="dxa"/>
            <w:tcBorders>
              <w:bottom w:val="single" w:sz="12" w:space="0" w:color="auto"/>
            </w:tcBorders>
            <w:shd w:val="clear" w:color="auto" w:fill="FFFFFF"/>
          </w:tcPr>
          <w:p w14:paraId="27A43211"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术前</w:t>
            </w:r>
          </w:p>
        </w:tc>
        <w:tc>
          <w:tcPr>
            <w:tcW w:w="750" w:type="dxa"/>
            <w:tcBorders>
              <w:bottom w:val="single" w:sz="12" w:space="0" w:color="auto"/>
            </w:tcBorders>
            <w:shd w:val="clear" w:color="auto" w:fill="FFFFFF"/>
          </w:tcPr>
          <w:p w14:paraId="376DAB9A"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术后</w:t>
            </w:r>
          </w:p>
        </w:tc>
        <w:tc>
          <w:tcPr>
            <w:tcW w:w="815" w:type="dxa"/>
            <w:tcBorders>
              <w:bottom w:val="single" w:sz="12" w:space="0" w:color="auto"/>
            </w:tcBorders>
            <w:shd w:val="clear" w:color="auto" w:fill="FFFFFF"/>
          </w:tcPr>
          <w:p w14:paraId="60E4B4E2"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术前</w:t>
            </w:r>
          </w:p>
        </w:tc>
        <w:tc>
          <w:tcPr>
            <w:tcW w:w="750" w:type="dxa"/>
            <w:tcBorders>
              <w:bottom w:val="single" w:sz="12" w:space="0" w:color="auto"/>
            </w:tcBorders>
            <w:shd w:val="clear" w:color="auto" w:fill="FFFFFF"/>
          </w:tcPr>
          <w:p w14:paraId="368CC0C8"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术后</w:t>
            </w:r>
          </w:p>
        </w:tc>
        <w:tc>
          <w:tcPr>
            <w:tcW w:w="945" w:type="dxa"/>
            <w:tcBorders>
              <w:bottom w:val="single" w:sz="12" w:space="0" w:color="auto"/>
            </w:tcBorders>
            <w:shd w:val="clear" w:color="auto" w:fill="FFFFFF"/>
          </w:tcPr>
          <w:p w14:paraId="7AA20079"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术前</w:t>
            </w:r>
          </w:p>
        </w:tc>
        <w:tc>
          <w:tcPr>
            <w:tcW w:w="945" w:type="dxa"/>
            <w:tcBorders>
              <w:bottom w:val="single" w:sz="12" w:space="0" w:color="auto"/>
            </w:tcBorders>
            <w:shd w:val="clear" w:color="auto" w:fill="FFFFFF"/>
          </w:tcPr>
          <w:p w14:paraId="3B10C505"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术后</w:t>
            </w:r>
          </w:p>
        </w:tc>
        <w:tc>
          <w:tcPr>
            <w:tcW w:w="945" w:type="dxa"/>
            <w:tcBorders>
              <w:bottom w:val="single" w:sz="12" w:space="0" w:color="auto"/>
            </w:tcBorders>
            <w:shd w:val="clear" w:color="auto" w:fill="FFFFFF"/>
          </w:tcPr>
          <w:p w14:paraId="59CE6FD5"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术前</w:t>
            </w:r>
          </w:p>
        </w:tc>
        <w:tc>
          <w:tcPr>
            <w:tcW w:w="880" w:type="dxa"/>
            <w:tcBorders>
              <w:bottom w:val="single" w:sz="12" w:space="0" w:color="auto"/>
              <w:right w:val="nil"/>
            </w:tcBorders>
            <w:shd w:val="clear" w:color="auto" w:fill="FFFFFF"/>
          </w:tcPr>
          <w:p w14:paraId="028E4C24"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术后</w:t>
            </w:r>
          </w:p>
        </w:tc>
      </w:tr>
      <w:tr w:rsidR="0029401A" w14:paraId="41467E7B" w14:textId="77777777">
        <w:trPr>
          <w:trHeight w:val="23"/>
          <w:jc w:val="center"/>
        </w:trPr>
        <w:tc>
          <w:tcPr>
            <w:tcW w:w="680" w:type="dxa"/>
            <w:tcBorders>
              <w:top w:val="single" w:sz="12" w:space="0" w:color="auto"/>
            </w:tcBorders>
            <w:shd w:val="clear" w:color="auto" w:fill="FFFFFF"/>
          </w:tcPr>
          <w:p w14:paraId="5E263D5B"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对照组</w:t>
            </w:r>
          </w:p>
        </w:tc>
        <w:tc>
          <w:tcPr>
            <w:tcW w:w="680" w:type="dxa"/>
            <w:tcBorders>
              <w:top w:val="single" w:sz="12" w:space="0" w:color="auto"/>
            </w:tcBorders>
            <w:shd w:val="clear" w:color="auto" w:fill="FFFFFF"/>
          </w:tcPr>
          <w:p w14:paraId="057110A6"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50</w:t>
            </w:r>
          </w:p>
        </w:tc>
        <w:tc>
          <w:tcPr>
            <w:tcW w:w="815" w:type="dxa"/>
            <w:tcBorders>
              <w:top w:val="single" w:sz="12" w:space="0" w:color="auto"/>
            </w:tcBorders>
            <w:shd w:val="clear" w:color="auto" w:fill="FFFFFF"/>
          </w:tcPr>
          <w:p w14:paraId="7F684598"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15.55±3.32</w:t>
            </w:r>
          </w:p>
        </w:tc>
        <w:tc>
          <w:tcPr>
            <w:tcW w:w="750" w:type="dxa"/>
            <w:tcBorders>
              <w:top w:val="single" w:sz="12" w:space="0" w:color="auto"/>
            </w:tcBorders>
            <w:shd w:val="clear" w:color="auto" w:fill="FFFFFF"/>
          </w:tcPr>
          <w:p w14:paraId="59D3466A"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4.96±1.11</w:t>
            </w:r>
          </w:p>
        </w:tc>
        <w:tc>
          <w:tcPr>
            <w:tcW w:w="815" w:type="dxa"/>
            <w:tcBorders>
              <w:top w:val="single" w:sz="12" w:space="0" w:color="auto"/>
            </w:tcBorders>
            <w:shd w:val="clear" w:color="auto" w:fill="FFFFFF"/>
          </w:tcPr>
          <w:p w14:paraId="0132F121"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20.78±2.53</w:t>
            </w:r>
          </w:p>
        </w:tc>
        <w:tc>
          <w:tcPr>
            <w:tcW w:w="750" w:type="dxa"/>
            <w:tcBorders>
              <w:top w:val="single" w:sz="12" w:space="0" w:color="auto"/>
            </w:tcBorders>
            <w:shd w:val="clear" w:color="auto" w:fill="FFFFFF"/>
          </w:tcPr>
          <w:p w14:paraId="4D551A4E"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3.34±0.32</w:t>
            </w:r>
          </w:p>
        </w:tc>
        <w:tc>
          <w:tcPr>
            <w:tcW w:w="945" w:type="dxa"/>
            <w:tcBorders>
              <w:top w:val="single" w:sz="12" w:space="0" w:color="auto"/>
            </w:tcBorders>
            <w:shd w:val="clear" w:color="auto" w:fill="FFFFFF"/>
          </w:tcPr>
          <w:p w14:paraId="6B48EEB5"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106.52±55.32</w:t>
            </w:r>
          </w:p>
        </w:tc>
        <w:tc>
          <w:tcPr>
            <w:tcW w:w="945" w:type="dxa"/>
            <w:tcBorders>
              <w:top w:val="single" w:sz="12" w:space="0" w:color="auto"/>
            </w:tcBorders>
            <w:shd w:val="clear" w:color="auto" w:fill="FFFFFF"/>
          </w:tcPr>
          <w:p w14:paraId="6A54B881"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283.52±47.92</w:t>
            </w:r>
          </w:p>
        </w:tc>
        <w:tc>
          <w:tcPr>
            <w:tcW w:w="945" w:type="dxa"/>
            <w:tcBorders>
              <w:top w:val="single" w:sz="12" w:space="0" w:color="auto"/>
            </w:tcBorders>
            <w:shd w:val="clear" w:color="auto" w:fill="FFFFFF"/>
          </w:tcPr>
          <w:p w14:paraId="1BDD20A3"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177.52±25.55</w:t>
            </w:r>
          </w:p>
        </w:tc>
        <w:tc>
          <w:tcPr>
            <w:tcW w:w="880" w:type="dxa"/>
            <w:tcBorders>
              <w:top w:val="single" w:sz="12" w:space="0" w:color="auto"/>
              <w:right w:val="nil"/>
            </w:tcBorders>
            <w:shd w:val="clear" w:color="auto" w:fill="FFFFFF"/>
          </w:tcPr>
          <w:p w14:paraId="7AD7ECE0"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65.55±23.12</w:t>
            </w:r>
          </w:p>
        </w:tc>
      </w:tr>
      <w:bookmarkEnd w:id="8"/>
      <w:tr w:rsidR="0029401A" w14:paraId="0F7FD906" w14:textId="77777777">
        <w:trPr>
          <w:trHeight w:val="23"/>
          <w:jc w:val="center"/>
        </w:trPr>
        <w:tc>
          <w:tcPr>
            <w:tcW w:w="680" w:type="dxa"/>
            <w:shd w:val="clear" w:color="auto" w:fill="FFFFFF"/>
          </w:tcPr>
          <w:p w14:paraId="755ECB8E"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观察组</w:t>
            </w:r>
          </w:p>
        </w:tc>
        <w:tc>
          <w:tcPr>
            <w:tcW w:w="680" w:type="dxa"/>
            <w:shd w:val="clear" w:color="auto" w:fill="FFFFFF"/>
          </w:tcPr>
          <w:p w14:paraId="21513AB9"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50</w:t>
            </w:r>
          </w:p>
        </w:tc>
        <w:tc>
          <w:tcPr>
            <w:tcW w:w="815" w:type="dxa"/>
            <w:shd w:val="clear" w:color="auto" w:fill="FFFFFF"/>
          </w:tcPr>
          <w:p w14:paraId="73B68EC1"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14.34±4.52</w:t>
            </w:r>
          </w:p>
        </w:tc>
        <w:tc>
          <w:tcPr>
            <w:tcW w:w="750" w:type="dxa"/>
            <w:shd w:val="clear" w:color="auto" w:fill="FFFFFF"/>
          </w:tcPr>
          <w:p w14:paraId="577D0D1D"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7.73±2.24</w:t>
            </w:r>
          </w:p>
        </w:tc>
        <w:tc>
          <w:tcPr>
            <w:tcW w:w="815" w:type="dxa"/>
            <w:shd w:val="clear" w:color="auto" w:fill="FFFFFF"/>
          </w:tcPr>
          <w:p w14:paraId="5F82F887"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20.26±2.76</w:t>
            </w:r>
          </w:p>
        </w:tc>
        <w:tc>
          <w:tcPr>
            <w:tcW w:w="750" w:type="dxa"/>
            <w:shd w:val="clear" w:color="auto" w:fill="FFFFFF"/>
          </w:tcPr>
          <w:p w14:paraId="63A30439"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5.52±1.66</w:t>
            </w:r>
          </w:p>
        </w:tc>
        <w:tc>
          <w:tcPr>
            <w:tcW w:w="945" w:type="dxa"/>
            <w:shd w:val="clear" w:color="auto" w:fill="FFFFFF"/>
          </w:tcPr>
          <w:p w14:paraId="6E8800F7"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106.32±57.74</w:t>
            </w:r>
          </w:p>
        </w:tc>
        <w:tc>
          <w:tcPr>
            <w:tcW w:w="945" w:type="dxa"/>
            <w:shd w:val="clear" w:color="auto" w:fill="FFFFFF"/>
          </w:tcPr>
          <w:p w14:paraId="4C9A3A9A"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213.32±45.67</w:t>
            </w:r>
          </w:p>
        </w:tc>
        <w:tc>
          <w:tcPr>
            <w:tcW w:w="945" w:type="dxa"/>
            <w:shd w:val="clear" w:color="auto" w:fill="FFFFFF"/>
          </w:tcPr>
          <w:p w14:paraId="1A1B7C95"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176.88±26.47</w:t>
            </w:r>
          </w:p>
        </w:tc>
        <w:tc>
          <w:tcPr>
            <w:tcW w:w="880" w:type="dxa"/>
            <w:tcBorders>
              <w:right w:val="nil"/>
            </w:tcBorders>
            <w:shd w:val="clear" w:color="auto" w:fill="FFFFFF"/>
          </w:tcPr>
          <w:p w14:paraId="7B61D768"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98.52±27.72</w:t>
            </w:r>
          </w:p>
        </w:tc>
      </w:tr>
      <w:tr w:rsidR="0029401A" w14:paraId="6F4FB0DC" w14:textId="77777777">
        <w:trPr>
          <w:trHeight w:val="23"/>
          <w:jc w:val="center"/>
        </w:trPr>
        <w:tc>
          <w:tcPr>
            <w:tcW w:w="1360" w:type="dxa"/>
            <w:gridSpan w:val="2"/>
            <w:tcBorders>
              <w:bottom w:val="single" w:sz="18" w:space="0" w:color="auto"/>
            </w:tcBorders>
            <w:shd w:val="clear" w:color="auto" w:fill="FFFFFF"/>
          </w:tcPr>
          <w:p w14:paraId="0CC75F54"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lastRenderedPageBreak/>
              <w:t>t值</w:t>
            </w:r>
          </w:p>
          <w:p w14:paraId="1215CD5C"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p</w:t>
            </w:r>
          </w:p>
        </w:tc>
        <w:tc>
          <w:tcPr>
            <w:tcW w:w="815" w:type="dxa"/>
            <w:tcBorders>
              <w:bottom w:val="single" w:sz="18" w:space="0" w:color="auto"/>
            </w:tcBorders>
            <w:shd w:val="clear" w:color="auto" w:fill="FFFFFF"/>
          </w:tcPr>
          <w:p w14:paraId="40BFA978"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1.523</w:t>
            </w:r>
          </w:p>
          <w:p w14:paraId="2FBF496E"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0.124</w:t>
            </w:r>
          </w:p>
        </w:tc>
        <w:tc>
          <w:tcPr>
            <w:tcW w:w="750" w:type="dxa"/>
            <w:tcBorders>
              <w:bottom w:val="single" w:sz="18" w:space="0" w:color="auto"/>
            </w:tcBorders>
            <w:shd w:val="clear" w:color="auto" w:fill="FFFFFF"/>
          </w:tcPr>
          <w:p w14:paraId="30428776"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-8.662&lt;0.001</w:t>
            </w:r>
          </w:p>
        </w:tc>
        <w:tc>
          <w:tcPr>
            <w:tcW w:w="815" w:type="dxa"/>
            <w:tcBorders>
              <w:bottom w:val="single" w:sz="18" w:space="0" w:color="auto"/>
            </w:tcBorders>
            <w:shd w:val="clear" w:color="auto" w:fill="FFFFFF"/>
          </w:tcPr>
          <w:p w14:paraId="1717080D"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1.420</w:t>
            </w:r>
          </w:p>
          <w:p w14:paraId="38421828"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0.147</w:t>
            </w:r>
          </w:p>
        </w:tc>
        <w:tc>
          <w:tcPr>
            <w:tcW w:w="750" w:type="dxa"/>
            <w:tcBorders>
              <w:bottom w:val="single" w:sz="18" w:space="0" w:color="auto"/>
            </w:tcBorders>
            <w:shd w:val="clear" w:color="auto" w:fill="FFFFFF"/>
          </w:tcPr>
          <w:p w14:paraId="2448DE89"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-10.67&lt;0.001</w:t>
            </w:r>
          </w:p>
        </w:tc>
        <w:tc>
          <w:tcPr>
            <w:tcW w:w="945" w:type="dxa"/>
            <w:tcBorders>
              <w:bottom w:val="single" w:sz="18" w:space="0" w:color="auto"/>
            </w:tcBorders>
            <w:shd w:val="clear" w:color="auto" w:fill="FFFFFF"/>
          </w:tcPr>
          <w:p w14:paraId="7D5FD9E3"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-0.072</w:t>
            </w:r>
          </w:p>
          <w:p w14:paraId="26880A98"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0.943</w:t>
            </w:r>
          </w:p>
        </w:tc>
        <w:tc>
          <w:tcPr>
            <w:tcW w:w="945" w:type="dxa"/>
            <w:tcBorders>
              <w:bottom w:val="single" w:sz="18" w:space="0" w:color="auto"/>
            </w:tcBorders>
            <w:shd w:val="clear" w:color="auto" w:fill="FFFFFF"/>
          </w:tcPr>
          <w:p w14:paraId="7BB334A8"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9.662</w:t>
            </w:r>
          </w:p>
          <w:p w14:paraId="7E597A17"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&lt;0.001</w:t>
            </w:r>
          </w:p>
        </w:tc>
        <w:tc>
          <w:tcPr>
            <w:tcW w:w="945" w:type="dxa"/>
            <w:tcBorders>
              <w:bottom w:val="single" w:sz="18" w:space="0" w:color="auto"/>
            </w:tcBorders>
            <w:shd w:val="clear" w:color="auto" w:fill="FFFFFF"/>
          </w:tcPr>
          <w:p w14:paraId="4B3B634A"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0.136</w:t>
            </w:r>
          </w:p>
          <w:p w14:paraId="05DD526C"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0.866</w:t>
            </w:r>
          </w:p>
        </w:tc>
        <w:tc>
          <w:tcPr>
            <w:tcW w:w="880" w:type="dxa"/>
            <w:tcBorders>
              <w:bottom w:val="single" w:sz="18" w:space="0" w:color="auto"/>
              <w:right w:val="nil"/>
            </w:tcBorders>
            <w:shd w:val="clear" w:color="auto" w:fill="FFFFFF"/>
          </w:tcPr>
          <w:p w14:paraId="0646811D"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-7.367</w:t>
            </w:r>
          </w:p>
          <w:p w14:paraId="5ADB3BC5"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&lt;0.001</w:t>
            </w:r>
          </w:p>
        </w:tc>
      </w:tr>
    </w:tbl>
    <w:p w14:paraId="642AFD3A" w14:textId="77777777" w:rsidR="0029401A" w:rsidRDefault="0029401A">
      <w:pPr>
        <w:widowControl/>
        <w:spacing w:line="360" w:lineRule="auto"/>
        <w:rPr>
          <w:rFonts w:ascii="Times New Roman" w:eastAsia="宋体" w:hAnsi="Times New Roman" w:cs="Times New Roman"/>
          <w:b/>
          <w:bCs/>
          <w:kern w:val="20"/>
          <w:sz w:val="24"/>
        </w:rPr>
      </w:pPr>
    </w:p>
    <w:p w14:paraId="135E2437" w14:textId="77777777" w:rsidR="0029401A" w:rsidRDefault="00000000">
      <w:pPr>
        <w:widowControl/>
        <w:spacing w:line="360" w:lineRule="auto"/>
        <w:rPr>
          <w:rFonts w:ascii="Times New Roman" w:eastAsiaTheme="majorEastAsia" w:hAnsi="Times New Roman" w:cs="Times New Roman"/>
          <w:sz w:val="24"/>
        </w:rPr>
      </w:pPr>
      <w:r>
        <w:rPr>
          <w:rFonts w:ascii="Times New Roman" w:eastAsia="宋体" w:hAnsi="Times New Roman" w:cs="Times New Roman" w:hint="eastAsia"/>
          <w:b/>
          <w:bCs/>
          <w:kern w:val="20"/>
          <w:sz w:val="24"/>
        </w:rPr>
        <w:t>2.3</w:t>
      </w:r>
      <w:r>
        <w:rPr>
          <w:rFonts w:ascii="Times New Roman" w:eastAsia="宋体" w:hAnsi="Times New Roman" w:cs="Times New Roman" w:hint="eastAsia"/>
          <w:b/>
          <w:bCs/>
          <w:kern w:val="20"/>
          <w:sz w:val="24"/>
        </w:rPr>
        <w:t>两组术后</w:t>
      </w:r>
      <w:r>
        <w:rPr>
          <w:rFonts w:ascii="Times New Roman" w:eastAsia="宋体" w:hAnsi="Times New Roman" w:cs="Times New Roman" w:hint="eastAsia"/>
          <w:b/>
          <w:bCs/>
          <w:kern w:val="20"/>
          <w:sz w:val="24"/>
        </w:rPr>
        <w:t>VAS</w:t>
      </w:r>
      <w:r>
        <w:rPr>
          <w:rFonts w:ascii="Times New Roman" w:eastAsia="宋体" w:hAnsi="Times New Roman" w:cs="Times New Roman" w:hint="eastAsia"/>
          <w:b/>
          <w:bCs/>
          <w:kern w:val="20"/>
          <w:sz w:val="24"/>
        </w:rPr>
        <w:t>评分比较</w:t>
      </w:r>
      <w:r>
        <w:rPr>
          <w:rFonts w:ascii="Times New Roman" w:eastAsia="宋体" w:hAnsi="Times New Roman" w:cs="Times New Roman" w:hint="eastAsia"/>
          <w:b/>
          <w:bCs/>
          <w:kern w:val="20"/>
          <w:sz w:val="24"/>
        </w:rPr>
        <w:t xml:space="preserve"> </w:t>
      </w:r>
      <w:r>
        <w:rPr>
          <w:rFonts w:ascii="Times New Roman" w:eastAsiaTheme="majorEastAsia" w:hAnsi="Times New Roman" w:cs="Times New Roman" w:hint="eastAsia"/>
          <w:kern w:val="20"/>
          <w:sz w:val="24"/>
        </w:rPr>
        <w:t>术前两组患者疼痛程度比较无明显差异</w:t>
      </w:r>
      <w:r>
        <w:rPr>
          <w:rFonts w:ascii="Times New Roman" w:eastAsiaTheme="majorEastAsia" w:hAnsi="Times New Roman" w:cs="Times New Roman"/>
          <w:sz w:val="24"/>
        </w:rPr>
        <w:t>（</w:t>
      </w:r>
      <w:r>
        <w:rPr>
          <w:rFonts w:ascii="Times New Roman" w:eastAsiaTheme="majorEastAsia" w:hAnsi="Times New Roman" w:cs="Times New Roman"/>
          <w:i/>
          <w:iCs/>
          <w:sz w:val="24"/>
        </w:rPr>
        <w:t>P</w:t>
      </w:r>
      <w:r>
        <w:rPr>
          <w:rFonts w:ascii="Times New Roman" w:eastAsiaTheme="majorEastAsia" w:hAnsi="Times New Roman" w:cs="Times New Roman" w:hint="eastAsia"/>
          <w:i/>
          <w:iCs/>
          <w:sz w:val="24"/>
        </w:rPr>
        <w:t>＞</w:t>
      </w:r>
      <w:r>
        <w:rPr>
          <w:rFonts w:ascii="Times New Roman" w:eastAsiaTheme="majorEastAsia" w:hAnsi="Times New Roman" w:cs="Times New Roman"/>
          <w:sz w:val="24"/>
        </w:rPr>
        <w:t>0.05</w:t>
      </w:r>
      <w:r>
        <w:rPr>
          <w:rFonts w:ascii="Times New Roman" w:eastAsiaTheme="majorEastAsia" w:hAnsi="Times New Roman" w:cs="Times New Roman"/>
          <w:sz w:val="24"/>
        </w:rPr>
        <w:t>）</w:t>
      </w:r>
      <w:r>
        <w:rPr>
          <w:rFonts w:ascii="Times New Roman" w:eastAsiaTheme="majorEastAsia" w:hAnsi="Times New Roman" w:cs="Times New Roman" w:hint="eastAsia"/>
          <w:sz w:val="24"/>
        </w:rPr>
        <w:t>，</w:t>
      </w:r>
      <w:r>
        <w:rPr>
          <w:rFonts w:ascii="Times New Roman" w:eastAsia="宋体" w:hAnsi="Times New Roman" w:cs="Times New Roman" w:hint="eastAsia"/>
          <w:b/>
          <w:bCs/>
          <w:kern w:val="20"/>
          <w:sz w:val="24"/>
        </w:rPr>
        <w:t xml:space="preserve"> </w:t>
      </w:r>
      <w:r>
        <w:rPr>
          <w:rFonts w:ascii="Times New Roman" w:eastAsiaTheme="majorEastAsia" w:hAnsi="Times New Roman" w:cs="Times New Roman"/>
          <w:kern w:val="20"/>
          <w:sz w:val="24"/>
        </w:rPr>
        <w:t>观察组</w:t>
      </w:r>
      <w:r>
        <w:rPr>
          <w:rFonts w:ascii="Times New Roman" w:eastAsiaTheme="majorEastAsia" w:hAnsi="Times New Roman" w:cs="Times New Roman" w:hint="eastAsia"/>
          <w:kern w:val="20"/>
          <w:sz w:val="24"/>
        </w:rPr>
        <w:t>手术当日</w:t>
      </w:r>
      <w:r>
        <w:rPr>
          <w:rFonts w:ascii="Times New Roman" w:eastAsiaTheme="majorEastAsia" w:hAnsi="Times New Roman" w:cs="Times New Roman"/>
          <w:kern w:val="20"/>
          <w:sz w:val="24"/>
        </w:rPr>
        <w:t>、术后第</w:t>
      </w:r>
      <w:r>
        <w:rPr>
          <w:rFonts w:ascii="Times New Roman" w:eastAsiaTheme="majorEastAsia" w:hAnsi="Times New Roman" w:cs="Times New Roman" w:hint="eastAsia"/>
          <w:kern w:val="20"/>
          <w:sz w:val="24"/>
        </w:rPr>
        <w:t>1</w:t>
      </w:r>
      <w:r>
        <w:rPr>
          <w:rFonts w:ascii="Times New Roman" w:eastAsiaTheme="majorEastAsia" w:hAnsi="Times New Roman" w:cs="Times New Roman"/>
          <w:kern w:val="20"/>
          <w:sz w:val="24"/>
        </w:rPr>
        <w:t>天及术后</w:t>
      </w:r>
      <w:r>
        <w:rPr>
          <w:rFonts w:ascii="Times New Roman" w:eastAsiaTheme="majorEastAsia" w:hAnsi="Times New Roman" w:cs="Times New Roman" w:hint="eastAsia"/>
          <w:kern w:val="20"/>
          <w:sz w:val="24"/>
        </w:rPr>
        <w:t>1</w:t>
      </w:r>
      <w:r>
        <w:rPr>
          <w:rFonts w:ascii="Times New Roman" w:eastAsiaTheme="majorEastAsia" w:hAnsi="Times New Roman" w:cs="Times New Roman"/>
          <w:kern w:val="20"/>
          <w:sz w:val="24"/>
        </w:rPr>
        <w:t>周</w:t>
      </w:r>
      <w:r>
        <w:rPr>
          <w:rFonts w:ascii="Times New Roman" w:eastAsiaTheme="majorEastAsia" w:hAnsi="Times New Roman" w:cs="Times New Roman"/>
          <w:kern w:val="20"/>
          <w:sz w:val="24"/>
        </w:rPr>
        <w:t>VAS</w:t>
      </w:r>
      <w:r>
        <w:rPr>
          <w:rFonts w:ascii="Times New Roman" w:eastAsiaTheme="majorEastAsia" w:hAnsi="Times New Roman" w:cs="Times New Roman"/>
          <w:kern w:val="20"/>
          <w:sz w:val="24"/>
        </w:rPr>
        <w:t>评分低于</w:t>
      </w:r>
      <w:r>
        <w:rPr>
          <w:rFonts w:ascii="Times New Roman" w:eastAsiaTheme="majorEastAsia" w:hAnsi="Times New Roman" w:cs="Times New Roman" w:hint="eastAsia"/>
          <w:kern w:val="20"/>
          <w:sz w:val="24"/>
        </w:rPr>
        <w:t>对照</w:t>
      </w:r>
      <w:r>
        <w:rPr>
          <w:rFonts w:ascii="Times New Roman" w:eastAsiaTheme="majorEastAsia" w:hAnsi="Times New Roman" w:cs="Times New Roman"/>
          <w:kern w:val="20"/>
          <w:sz w:val="24"/>
        </w:rPr>
        <w:t>组，</w:t>
      </w:r>
      <w:r>
        <w:rPr>
          <w:rFonts w:ascii="Times New Roman" w:eastAsiaTheme="majorEastAsia" w:hAnsi="Times New Roman" w:cs="Times New Roman"/>
          <w:sz w:val="24"/>
        </w:rPr>
        <w:t>差异有统计学意义（</w:t>
      </w:r>
      <w:r>
        <w:rPr>
          <w:rFonts w:ascii="Times New Roman" w:eastAsiaTheme="majorEastAsia" w:hAnsi="Times New Roman" w:cs="Times New Roman"/>
          <w:i/>
          <w:iCs/>
          <w:sz w:val="24"/>
        </w:rPr>
        <w:t>P</w:t>
      </w:r>
      <w:r>
        <w:rPr>
          <w:rFonts w:ascii="Times New Roman" w:eastAsiaTheme="majorEastAsia" w:hAnsi="Times New Roman" w:cs="Times New Roman"/>
          <w:sz w:val="24"/>
        </w:rPr>
        <w:t>&lt;0.05</w:t>
      </w:r>
      <w:r>
        <w:rPr>
          <w:rFonts w:ascii="Times New Roman" w:eastAsiaTheme="majorEastAsia" w:hAnsi="Times New Roman" w:cs="Times New Roman"/>
          <w:sz w:val="24"/>
        </w:rPr>
        <w:t>）</w:t>
      </w:r>
      <w:r>
        <w:rPr>
          <w:rFonts w:ascii="Times New Roman" w:eastAsiaTheme="majorEastAsia" w:hAnsi="Times New Roman" w:cs="Times New Roman" w:hint="eastAsia"/>
          <w:sz w:val="24"/>
        </w:rPr>
        <w:t>，详</w:t>
      </w:r>
      <w:r>
        <w:rPr>
          <w:rFonts w:ascii="Times New Roman" w:eastAsiaTheme="majorEastAsia" w:hAnsi="Times New Roman" w:cs="Times New Roman"/>
          <w:sz w:val="24"/>
        </w:rPr>
        <w:t>见表</w:t>
      </w:r>
      <w:r>
        <w:rPr>
          <w:rFonts w:ascii="Times New Roman" w:eastAsiaTheme="majorEastAsia" w:hAnsi="Times New Roman" w:cs="Times New Roman" w:hint="eastAsia"/>
          <w:sz w:val="24"/>
        </w:rPr>
        <w:t>3</w:t>
      </w:r>
      <w:r>
        <w:rPr>
          <w:rFonts w:ascii="Times New Roman" w:eastAsiaTheme="majorEastAsia" w:hAnsi="Times New Roman" w:cs="Times New Roman"/>
          <w:sz w:val="24"/>
        </w:rPr>
        <w:t>。</w:t>
      </w:r>
      <w:r>
        <w:rPr>
          <w:rFonts w:ascii="Times New Roman" w:eastAsiaTheme="majorEastAsia" w:hAnsi="Times New Roman" w:cs="Times New Roman"/>
          <w:sz w:val="24"/>
        </w:rPr>
        <w:tab/>
      </w:r>
    </w:p>
    <w:p w14:paraId="7B5E1941" w14:textId="77777777" w:rsidR="0029401A" w:rsidRDefault="00000000">
      <w:pPr>
        <w:widowControl/>
        <w:numPr>
          <w:ilvl w:val="255"/>
          <w:numId w:val="0"/>
        </w:numPr>
        <w:tabs>
          <w:tab w:val="left" w:pos="3691"/>
          <w:tab w:val="center" w:pos="4989"/>
        </w:tabs>
        <w:spacing w:line="360" w:lineRule="auto"/>
        <w:jc w:val="center"/>
        <w:rPr>
          <w:rFonts w:ascii="Times New Roman" w:eastAsiaTheme="majorEastAsia" w:hAnsi="Times New Roman" w:cs="Times New Roman"/>
          <w:sz w:val="24"/>
        </w:rPr>
      </w:pPr>
      <w:r>
        <w:rPr>
          <w:rFonts w:ascii="Times New Roman" w:eastAsiaTheme="majorEastAsia" w:hAnsi="Times New Roman" w:cs="Times New Roman"/>
          <w:sz w:val="24"/>
        </w:rPr>
        <w:t>表</w:t>
      </w:r>
      <w:r>
        <w:rPr>
          <w:rFonts w:ascii="Times New Roman" w:eastAsiaTheme="majorEastAsia" w:hAnsi="Times New Roman" w:cs="Times New Roman" w:hint="eastAsia"/>
          <w:sz w:val="24"/>
        </w:rPr>
        <w:t xml:space="preserve">3  </w:t>
      </w:r>
      <w:r>
        <w:rPr>
          <w:rFonts w:ascii="Times New Roman" w:eastAsiaTheme="majorEastAsia" w:hAnsi="Times New Roman" w:cs="Times New Roman"/>
          <w:sz w:val="24"/>
        </w:rPr>
        <w:t>两组术后</w:t>
      </w:r>
      <w:r>
        <w:rPr>
          <w:rFonts w:ascii="Times New Roman" w:eastAsiaTheme="majorEastAsia" w:hAnsi="Times New Roman" w:cs="Times New Roman"/>
          <w:sz w:val="24"/>
        </w:rPr>
        <w:t>VAS</w:t>
      </w:r>
      <w:r>
        <w:rPr>
          <w:rFonts w:ascii="Times New Roman" w:eastAsiaTheme="majorEastAsia" w:hAnsi="Times New Roman" w:cs="Times New Roman"/>
          <w:sz w:val="24"/>
        </w:rPr>
        <w:t>评分对比</w:t>
      </w:r>
    </w:p>
    <w:tbl>
      <w:tblPr>
        <w:tblStyle w:val="a8"/>
        <w:tblpPr w:leftFromText="180" w:rightFromText="180" w:vertAnchor="text" w:horzAnchor="page" w:tblpXSpec="center" w:tblpY="485"/>
        <w:tblOverlap w:val="never"/>
        <w:tblW w:w="0" w:type="auto"/>
        <w:tblLook w:val="04A0" w:firstRow="1" w:lastRow="0" w:firstColumn="1" w:lastColumn="0" w:noHBand="0" w:noVBand="1"/>
      </w:tblPr>
      <w:tblGrid>
        <w:gridCol w:w="1474"/>
        <w:gridCol w:w="1474"/>
        <w:gridCol w:w="1786"/>
        <w:gridCol w:w="1786"/>
        <w:gridCol w:w="1786"/>
      </w:tblGrid>
      <w:tr w:rsidR="0029401A" w14:paraId="3275488F" w14:textId="77777777">
        <w:tc>
          <w:tcPr>
            <w:tcW w:w="1522" w:type="dxa"/>
            <w:tcBorders>
              <w:top w:val="single" w:sz="18" w:space="0" w:color="auto"/>
              <w:left w:val="nil"/>
              <w:bottom w:val="single" w:sz="4" w:space="0" w:color="000000"/>
              <w:right w:val="nil"/>
              <w:tl2br w:val="nil"/>
            </w:tcBorders>
            <w:shd w:val="clear" w:color="auto" w:fill="FFFFFF"/>
          </w:tcPr>
          <w:p w14:paraId="1AE9A043"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组别</w:t>
            </w:r>
          </w:p>
        </w:tc>
        <w:tc>
          <w:tcPr>
            <w:tcW w:w="1522" w:type="dxa"/>
            <w:tcBorders>
              <w:top w:val="single" w:sz="18" w:space="0" w:color="auto"/>
              <w:left w:val="nil"/>
              <w:bottom w:val="single" w:sz="4" w:space="0" w:color="000000"/>
              <w:right w:val="nil"/>
            </w:tcBorders>
            <w:shd w:val="clear" w:color="auto" w:fill="FFFFFF"/>
          </w:tcPr>
          <w:p w14:paraId="54070080"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例数</w:t>
            </w:r>
          </w:p>
        </w:tc>
        <w:tc>
          <w:tcPr>
            <w:tcW w:w="1826" w:type="dxa"/>
            <w:tcBorders>
              <w:top w:val="single" w:sz="18" w:space="0" w:color="auto"/>
              <w:left w:val="nil"/>
              <w:bottom w:val="single" w:sz="4" w:space="0" w:color="000000"/>
              <w:right w:val="nil"/>
            </w:tcBorders>
            <w:shd w:val="clear" w:color="auto" w:fill="FFFFFF"/>
          </w:tcPr>
          <w:p w14:paraId="135A5A90"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术后当天</w:t>
            </w:r>
          </w:p>
        </w:tc>
        <w:tc>
          <w:tcPr>
            <w:tcW w:w="1826" w:type="dxa"/>
            <w:tcBorders>
              <w:top w:val="single" w:sz="18" w:space="0" w:color="auto"/>
              <w:left w:val="nil"/>
              <w:bottom w:val="single" w:sz="4" w:space="0" w:color="000000"/>
              <w:right w:val="nil"/>
            </w:tcBorders>
            <w:shd w:val="clear" w:color="auto" w:fill="FFFFFF"/>
          </w:tcPr>
          <w:p w14:paraId="65A26B8C"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术后第一天</w:t>
            </w:r>
          </w:p>
        </w:tc>
        <w:tc>
          <w:tcPr>
            <w:tcW w:w="1826" w:type="dxa"/>
            <w:tcBorders>
              <w:top w:val="single" w:sz="18" w:space="0" w:color="auto"/>
              <w:left w:val="nil"/>
              <w:bottom w:val="single" w:sz="4" w:space="0" w:color="000000"/>
              <w:right w:val="nil"/>
            </w:tcBorders>
            <w:shd w:val="clear" w:color="auto" w:fill="FFFFFF"/>
          </w:tcPr>
          <w:p w14:paraId="00113829"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术后第一周</w:t>
            </w:r>
          </w:p>
        </w:tc>
      </w:tr>
      <w:tr w:rsidR="0029401A" w14:paraId="5ACCF2FF" w14:textId="77777777">
        <w:tc>
          <w:tcPr>
            <w:tcW w:w="1522" w:type="dxa"/>
            <w:tcBorders>
              <w:top w:val="single" w:sz="4" w:space="0" w:color="000000"/>
              <w:left w:val="nil"/>
              <w:bottom w:val="nil"/>
              <w:right w:val="nil"/>
            </w:tcBorders>
            <w:shd w:val="clear" w:color="auto" w:fill="FFFFFF"/>
          </w:tcPr>
          <w:p w14:paraId="1C8E8947"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对照组</w:t>
            </w:r>
          </w:p>
        </w:tc>
        <w:tc>
          <w:tcPr>
            <w:tcW w:w="1522" w:type="dxa"/>
            <w:tcBorders>
              <w:top w:val="single" w:sz="4" w:space="0" w:color="000000"/>
              <w:left w:val="nil"/>
              <w:bottom w:val="nil"/>
              <w:right w:val="nil"/>
            </w:tcBorders>
            <w:shd w:val="clear" w:color="auto" w:fill="FFFFFF"/>
          </w:tcPr>
          <w:p w14:paraId="1D170799"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50</w:t>
            </w:r>
          </w:p>
        </w:tc>
        <w:tc>
          <w:tcPr>
            <w:tcW w:w="1826" w:type="dxa"/>
            <w:tcBorders>
              <w:top w:val="single" w:sz="4" w:space="0" w:color="000000"/>
              <w:left w:val="nil"/>
              <w:bottom w:val="nil"/>
              <w:right w:val="nil"/>
            </w:tcBorders>
            <w:shd w:val="clear" w:color="auto" w:fill="FFFFFF"/>
          </w:tcPr>
          <w:p w14:paraId="2CB5F9C0"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5.24±2.66</w:t>
            </w:r>
          </w:p>
        </w:tc>
        <w:tc>
          <w:tcPr>
            <w:tcW w:w="1826" w:type="dxa"/>
            <w:tcBorders>
              <w:top w:val="single" w:sz="4" w:space="0" w:color="000000"/>
              <w:left w:val="nil"/>
              <w:bottom w:val="nil"/>
              <w:right w:val="nil"/>
            </w:tcBorders>
            <w:shd w:val="clear" w:color="auto" w:fill="FFFFFF"/>
          </w:tcPr>
          <w:p w14:paraId="373474F2"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4.77±2.45</w:t>
            </w:r>
          </w:p>
        </w:tc>
        <w:tc>
          <w:tcPr>
            <w:tcW w:w="1826" w:type="dxa"/>
            <w:tcBorders>
              <w:top w:val="single" w:sz="4" w:space="0" w:color="000000"/>
              <w:left w:val="nil"/>
              <w:bottom w:val="nil"/>
              <w:right w:val="nil"/>
            </w:tcBorders>
            <w:shd w:val="clear" w:color="auto" w:fill="FFFFFF"/>
          </w:tcPr>
          <w:p w14:paraId="1DB86DE4"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3.12±1.03</w:t>
            </w:r>
          </w:p>
        </w:tc>
      </w:tr>
      <w:tr w:rsidR="0029401A" w14:paraId="653D21BE" w14:textId="77777777">
        <w:trPr>
          <w:trHeight w:val="90"/>
        </w:trPr>
        <w:tc>
          <w:tcPr>
            <w:tcW w:w="1522" w:type="dxa"/>
            <w:tcBorders>
              <w:top w:val="nil"/>
              <w:left w:val="nil"/>
              <w:bottom w:val="nil"/>
              <w:right w:val="nil"/>
            </w:tcBorders>
            <w:shd w:val="clear" w:color="auto" w:fill="FFFFFF"/>
          </w:tcPr>
          <w:p w14:paraId="7C19EB41"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观察组</w:t>
            </w:r>
          </w:p>
        </w:tc>
        <w:tc>
          <w:tcPr>
            <w:tcW w:w="1522" w:type="dxa"/>
            <w:tcBorders>
              <w:top w:val="nil"/>
              <w:left w:val="nil"/>
              <w:bottom w:val="nil"/>
              <w:right w:val="nil"/>
            </w:tcBorders>
            <w:shd w:val="clear" w:color="auto" w:fill="FFFFFF"/>
          </w:tcPr>
          <w:p w14:paraId="29AD6083"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50</w:t>
            </w:r>
          </w:p>
        </w:tc>
        <w:tc>
          <w:tcPr>
            <w:tcW w:w="1826" w:type="dxa"/>
            <w:tcBorders>
              <w:top w:val="nil"/>
              <w:left w:val="nil"/>
              <w:bottom w:val="nil"/>
              <w:right w:val="nil"/>
            </w:tcBorders>
            <w:shd w:val="clear" w:color="auto" w:fill="FFFFFF"/>
          </w:tcPr>
          <w:p w14:paraId="782F3014"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3.15±2.02</w:t>
            </w:r>
          </w:p>
        </w:tc>
        <w:tc>
          <w:tcPr>
            <w:tcW w:w="1826" w:type="dxa"/>
            <w:tcBorders>
              <w:top w:val="nil"/>
              <w:left w:val="nil"/>
              <w:bottom w:val="nil"/>
              <w:right w:val="nil"/>
            </w:tcBorders>
            <w:shd w:val="clear" w:color="auto" w:fill="FFFFFF"/>
          </w:tcPr>
          <w:p w14:paraId="46AB1814"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3.23±1.33</w:t>
            </w:r>
          </w:p>
        </w:tc>
        <w:tc>
          <w:tcPr>
            <w:tcW w:w="1826" w:type="dxa"/>
            <w:tcBorders>
              <w:top w:val="nil"/>
              <w:left w:val="nil"/>
              <w:bottom w:val="nil"/>
              <w:right w:val="nil"/>
            </w:tcBorders>
            <w:shd w:val="clear" w:color="auto" w:fill="FFFFFF"/>
          </w:tcPr>
          <w:p w14:paraId="232A78D2"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1.16±0.66</w:t>
            </w:r>
          </w:p>
        </w:tc>
      </w:tr>
      <w:tr w:rsidR="0029401A" w14:paraId="08D4A24D" w14:textId="77777777">
        <w:tc>
          <w:tcPr>
            <w:tcW w:w="1522" w:type="dxa"/>
            <w:tcBorders>
              <w:top w:val="nil"/>
              <w:left w:val="nil"/>
              <w:bottom w:val="nil"/>
              <w:right w:val="nil"/>
            </w:tcBorders>
            <w:shd w:val="clear" w:color="auto" w:fill="FFFFFF"/>
          </w:tcPr>
          <w:p w14:paraId="19CA53E6"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i/>
                <w:iCs/>
                <w:color w:val="000000"/>
                <w:sz w:val="24"/>
              </w:rPr>
              <w:t>t</w:t>
            </w:r>
            <w:r>
              <w:rPr>
                <w:rFonts w:asciiTheme="majorEastAsia" w:eastAsiaTheme="majorEastAsia" w:hAnsiTheme="majorEastAsia" w:cstheme="majorEastAsia" w:hint="eastAsia"/>
                <w:color w:val="000000"/>
                <w:sz w:val="24"/>
              </w:rPr>
              <w:t xml:space="preserve">值  </w:t>
            </w:r>
          </w:p>
        </w:tc>
        <w:tc>
          <w:tcPr>
            <w:tcW w:w="1522" w:type="dxa"/>
            <w:vMerge w:val="restart"/>
            <w:tcBorders>
              <w:top w:val="nil"/>
              <w:left w:val="nil"/>
              <w:bottom w:val="nil"/>
              <w:right w:val="nil"/>
            </w:tcBorders>
            <w:shd w:val="clear" w:color="auto" w:fill="FFFFFF"/>
          </w:tcPr>
          <w:p w14:paraId="0B92F77B" w14:textId="77777777" w:rsidR="0029401A" w:rsidRDefault="0029401A">
            <w:pPr>
              <w:widowControl/>
              <w:numPr>
                <w:ilvl w:val="255"/>
                <w:numId w:val="0"/>
              </w:numPr>
              <w:spacing w:line="360" w:lineRule="auto"/>
              <w:jc w:val="left"/>
              <w:rPr>
                <w:rFonts w:asciiTheme="majorEastAsia" w:eastAsiaTheme="majorEastAsia" w:hAnsiTheme="majorEastAsia" w:cstheme="majorEastAsia" w:hint="eastAsia"/>
                <w:color w:val="000000"/>
                <w:sz w:val="24"/>
              </w:rPr>
            </w:pPr>
          </w:p>
        </w:tc>
        <w:tc>
          <w:tcPr>
            <w:tcW w:w="1826" w:type="dxa"/>
            <w:tcBorders>
              <w:top w:val="nil"/>
              <w:left w:val="nil"/>
              <w:bottom w:val="nil"/>
              <w:right w:val="nil"/>
            </w:tcBorders>
            <w:shd w:val="clear" w:color="auto" w:fill="FFFFFF"/>
          </w:tcPr>
          <w:p w14:paraId="3149F203"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22.234</w:t>
            </w:r>
          </w:p>
        </w:tc>
        <w:tc>
          <w:tcPr>
            <w:tcW w:w="1826" w:type="dxa"/>
            <w:tcBorders>
              <w:top w:val="nil"/>
              <w:left w:val="nil"/>
              <w:bottom w:val="nil"/>
              <w:right w:val="nil"/>
            </w:tcBorders>
            <w:shd w:val="clear" w:color="auto" w:fill="FFFFFF"/>
          </w:tcPr>
          <w:p w14:paraId="5ADF7C76"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9.032</w:t>
            </w:r>
          </w:p>
        </w:tc>
        <w:tc>
          <w:tcPr>
            <w:tcW w:w="1826" w:type="dxa"/>
            <w:tcBorders>
              <w:top w:val="nil"/>
              <w:left w:val="nil"/>
              <w:bottom w:val="nil"/>
              <w:right w:val="nil"/>
            </w:tcBorders>
            <w:shd w:val="clear" w:color="auto" w:fill="FFFFFF"/>
          </w:tcPr>
          <w:p w14:paraId="6AEE30D9"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25.481</w:t>
            </w:r>
          </w:p>
        </w:tc>
      </w:tr>
      <w:tr w:rsidR="0029401A" w14:paraId="2E40F8A4" w14:textId="77777777">
        <w:tc>
          <w:tcPr>
            <w:tcW w:w="1522" w:type="dxa"/>
            <w:tcBorders>
              <w:top w:val="nil"/>
              <w:left w:val="nil"/>
              <w:bottom w:val="single" w:sz="18" w:space="0" w:color="auto"/>
              <w:right w:val="nil"/>
            </w:tcBorders>
            <w:shd w:val="clear" w:color="auto" w:fill="FFFFFF"/>
          </w:tcPr>
          <w:p w14:paraId="682E4E18"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P值</w:t>
            </w:r>
          </w:p>
        </w:tc>
        <w:tc>
          <w:tcPr>
            <w:tcW w:w="1522" w:type="dxa"/>
            <w:vMerge/>
            <w:tcBorders>
              <w:top w:val="nil"/>
              <w:left w:val="nil"/>
              <w:bottom w:val="single" w:sz="18" w:space="0" w:color="auto"/>
              <w:right w:val="nil"/>
            </w:tcBorders>
            <w:shd w:val="clear" w:color="auto" w:fill="FFFFFF"/>
          </w:tcPr>
          <w:p w14:paraId="281A9E12" w14:textId="77777777" w:rsidR="0029401A" w:rsidRDefault="0029401A">
            <w:pPr>
              <w:widowControl/>
              <w:numPr>
                <w:ilvl w:val="255"/>
                <w:numId w:val="0"/>
              </w:numPr>
              <w:spacing w:line="360" w:lineRule="auto"/>
              <w:jc w:val="left"/>
              <w:rPr>
                <w:rFonts w:asciiTheme="majorEastAsia" w:eastAsiaTheme="majorEastAsia" w:hAnsiTheme="majorEastAsia" w:cstheme="majorEastAsia" w:hint="eastAsia"/>
                <w:color w:val="000000"/>
                <w:sz w:val="24"/>
              </w:rPr>
            </w:pPr>
          </w:p>
        </w:tc>
        <w:tc>
          <w:tcPr>
            <w:tcW w:w="1826" w:type="dxa"/>
            <w:tcBorders>
              <w:top w:val="nil"/>
              <w:left w:val="nil"/>
              <w:bottom w:val="single" w:sz="18" w:space="0" w:color="auto"/>
              <w:right w:val="nil"/>
            </w:tcBorders>
            <w:shd w:val="clear" w:color="auto" w:fill="FFFFFF"/>
          </w:tcPr>
          <w:p w14:paraId="6A602701"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0.032</w:t>
            </w:r>
          </w:p>
        </w:tc>
        <w:tc>
          <w:tcPr>
            <w:tcW w:w="1826" w:type="dxa"/>
            <w:tcBorders>
              <w:top w:val="nil"/>
              <w:left w:val="nil"/>
              <w:bottom w:val="single" w:sz="18" w:space="0" w:color="auto"/>
              <w:right w:val="nil"/>
            </w:tcBorders>
            <w:shd w:val="clear" w:color="auto" w:fill="FFFFFF"/>
          </w:tcPr>
          <w:p w14:paraId="61961D96"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0.0049</w:t>
            </w:r>
          </w:p>
        </w:tc>
        <w:tc>
          <w:tcPr>
            <w:tcW w:w="1826" w:type="dxa"/>
            <w:tcBorders>
              <w:top w:val="nil"/>
              <w:left w:val="nil"/>
              <w:bottom w:val="single" w:sz="18" w:space="0" w:color="auto"/>
              <w:right w:val="nil"/>
            </w:tcBorders>
            <w:shd w:val="clear" w:color="auto" w:fill="FFFFFF"/>
          </w:tcPr>
          <w:p w14:paraId="025B1582"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&lt;0.01</w:t>
            </w:r>
          </w:p>
        </w:tc>
      </w:tr>
    </w:tbl>
    <w:p w14:paraId="1C10C23D" w14:textId="77777777" w:rsidR="0029401A" w:rsidRDefault="0029401A">
      <w:pPr>
        <w:widowControl/>
        <w:numPr>
          <w:ilvl w:val="255"/>
          <w:numId w:val="0"/>
        </w:numPr>
        <w:spacing w:line="360" w:lineRule="auto"/>
        <w:jc w:val="left"/>
        <w:rPr>
          <w:rFonts w:asciiTheme="majorEastAsia" w:eastAsiaTheme="majorEastAsia" w:hAnsiTheme="majorEastAsia" w:cstheme="majorEastAsia" w:hint="eastAsia"/>
          <w:sz w:val="24"/>
        </w:rPr>
      </w:pPr>
    </w:p>
    <w:p w14:paraId="5A2BA235" w14:textId="77777777" w:rsidR="0029401A" w:rsidRDefault="00000000">
      <w:pPr>
        <w:widowControl/>
        <w:spacing w:line="360" w:lineRule="auto"/>
        <w:rPr>
          <w:rFonts w:ascii="Times New Roman" w:eastAsiaTheme="majorEastAsia" w:hAnsi="Times New Roman" w:cs="Times New Roman"/>
          <w:sz w:val="24"/>
        </w:rPr>
      </w:pPr>
      <w:r>
        <w:rPr>
          <w:rFonts w:ascii="Times New Roman" w:eastAsia="宋体" w:hAnsi="Times New Roman" w:cs="Times New Roman" w:hint="eastAsia"/>
          <w:b/>
          <w:bCs/>
          <w:kern w:val="20"/>
          <w:sz w:val="24"/>
        </w:rPr>
        <w:t>2.4</w:t>
      </w:r>
      <w:r>
        <w:rPr>
          <w:rFonts w:ascii="Times New Roman" w:eastAsia="宋体" w:hAnsi="Times New Roman" w:cs="Times New Roman" w:hint="eastAsia"/>
          <w:b/>
          <w:bCs/>
          <w:kern w:val="20"/>
          <w:sz w:val="24"/>
        </w:rPr>
        <w:t>两组负性心态比较</w:t>
      </w:r>
      <w:r>
        <w:rPr>
          <w:rFonts w:ascii="Times New Roman" w:eastAsia="宋体" w:hAnsi="Times New Roman" w:cs="Times New Roman" w:hint="eastAsia"/>
          <w:b/>
          <w:bCs/>
          <w:kern w:val="20"/>
          <w:sz w:val="24"/>
        </w:rPr>
        <w:t xml:space="preserve">  </w:t>
      </w:r>
      <w:r>
        <w:rPr>
          <w:rFonts w:ascii="Times New Roman" w:eastAsiaTheme="majorEastAsia" w:hAnsi="Times New Roman" w:cs="Times New Roman" w:hint="eastAsia"/>
          <w:kern w:val="20"/>
          <w:sz w:val="24"/>
        </w:rPr>
        <w:t>术前两组患者负性心态比较无明显差异</w:t>
      </w:r>
      <w:r>
        <w:rPr>
          <w:rFonts w:ascii="Times New Roman" w:eastAsiaTheme="majorEastAsia" w:hAnsi="Times New Roman" w:cs="Times New Roman"/>
          <w:sz w:val="24"/>
        </w:rPr>
        <w:t>（</w:t>
      </w:r>
      <w:r>
        <w:rPr>
          <w:rFonts w:ascii="Times New Roman" w:eastAsiaTheme="majorEastAsia" w:hAnsi="Times New Roman" w:cs="Times New Roman"/>
          <w:i/>
          <w:iCs/>
          <w:sz w:val="24"/>
        </w:rPr>
        <w:t>P</w:t>
      </w:r>
      <w:r>
        <w:rPr>
          <w:rFonts w:ascii="Times New Roman" w:eastAsiaTheme="majorEastAsia" w:hAnsi="Times New Roman" w:cs="Times New Roman" w:hint="eastAsia"/>
          <w:i/>
          <w:iCs/>
          <w:sz w:val="24"/>
        </w:rPr>
        <w:t>＞</w:t>
      </w:r>
      <w:r>
        <w:rPr>
          <w:rFonts w:ascii="Times New Roman" w:eastAsiaTheme="majorEastAsia" w:hAnsi="Times New Roman" w:cs="Times New Roman"/>
          <w:sz w:val="24"/>
        </w:rPr>
        <w:t>0.05</w:t>
      </w:r>
      <w:r>
        <w:rPr>
          <w:rFonts w:ascii="Times New Roman" w:eastAsiaTheme="majorEastAsia" w:hAnsi="Times New Roman" w:cs="Times New Roman"/>
          <w:sz w:val="24"/>
        </w:rPr>
        <w:t>）</w:t>
      </w:r>
      <w:r>
        <w:rPr>
          <w:rFonts w:ascii="Times New Roman" w:eastAsiaTheme="majorEastAsia" w:hAnsi="Times New Roman" w:cs="Times New Roman" w:hint="eastAsia"/>
          <w:sz w:val="24"/>
        </w:rPr>
        <w:t>，术后观察组负性心态得分均低于对照组，差异有统计学意义（</w:t>
      </w:r>
      <w:r>
        <w:rPr>
          <w:rFonts w:ascii="Times New Roman" w:eastAsiaTheme="majorEastAsia" w:hAnsi="Times New Roman" w:cs="Times New Roman" w:hint="eastAsia"/>
          <w:i/>
          <w:iCs/>
          <w:sz w:val="24"/>
        </w:rPr>
        <w:t>P</w:t>
      </w:r>
      <w:r>
        <w:rPr>
          <w:rFonts w:ascii="Times New Roman" w:eastAsiaTheme="majorEastAsia" w:hAnsi="Times New Roman" w:cs="Times New Roman" w:hint="eastAsia"/>
          <w:sz w:val="24"/>
        </w:rPr>
        <w:t>&lt;0.05</w:t>
      </w:r>
      <w:r>
        <w:rPr>
          <w:rFonts w:ascii="Times New Roman" w:eastAsiaTheme="majorEastAsia" w:hAnsi="Times New Roman" w:cs="Times New Roman" w:hint="eastAsia"/>
          <w:sz w:val="24"/>
        </w:rPr>
        <w:t>），详见表</w:t>
      </w:r>
      <w:r>
        <w:rPr>
          <w:rFonts w:ascii="Times New Roman" w:eastAsiaTheme="majorEastAsia" w:hAnsi="Times New Roman" w:cs="Times New Roman" w:hint="eastAsia"/>
          <w:sz w:val="24"/>
        </w:rPr>
        <w:t>4</w:t>
      </w:r>
      <w:r>
        <w:rPr>
          <w:rFonts w:ascii="Times New Roman" w:eastAsiaTheme="majorEastAsia" w:hAnsi="Times New Roman" w:cs="Times New Roman" w:hint="eastAsia"/>
          <w:sz w:val="24"/>
        </w:rPr>
        <w:t>。</w:t>
      </w:r>
    </w:p>
    <w:p w14:paraId="3610C10B"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sz w:val="24"/>
        </w:rPr>
      </w:pPr>
      <w:r>
        <w:rPr>
          <w:rFonts w:asciiTheme="majorEastAsia" w:eastAsiaTheme="majorEastAsia" w:hAnsiTheme="majorEastAsia" w:cstheme="majorEastAsia" w:hint="eastAsia"/>
          <w:sz w:val="24"/>
        </w:rPr>
        <w:t xml:space="preserve">     表4  两组负性心态评分对比</w:t>
      </w:r>
    </w:p>
    <w:tbl>
      <w:tblPr>
        <w:tblStyle w:val="a8"/>
        <w:tblW w:w="0" w:type="auto"/>
        <w:tblLook w:val="04A0" w:firstRow="1" w:lastRow="0" w:firstColumn="1" w:lastColumn="0" w:noHBand="0" w:noVBand="1"/>
      </w:tblPr>
      <w:tblGrid>
        <w:gridCol w:w="1312"/>
        <w:gridCol w:w="1312"/>
        <w:gridCol w:w="1420"/>
        <w:gridCol w:w="1420"/>
        <w:gridCol w:w="1421"/>
        <w:gridCol w:w="1421"/>
      </w:tblGrid>
      <w:tr w:rsidR="0029401A" w14:paraId="3C22BDBF" w14:textId="77777777">
        <w:tc>
          <w:tcPr>
            <w:tcW w:w="1679" w:type="dxa"/>
            <w:vMerge w:val="restart"/>
            <w:tcBorders>
              <w:top w:val="single" w:sz="18" w:space="0" w:color="auto"/>
              <w:left w:val="nil"/>
              <w:bottom w:val="nil"/>
              <w:right w:val="nil"/>
              <w:tl2br w:val="nil"/>
            </w:tcBorders>
            <w:shd w:val="clear" w:color="auto" w:fill="FFFFFF"/>
          </w:tcPr>
          <w:p w14:paraId="440DD531"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bookmarkStart w:id="9" w:name="OLE_LINK7"/>
            <w:r>
              <w:rPr>
                <w:rFonts w:asciiTheme="majorEastAsia" w:eastAsiaTheme="majorEastAsia" w:hAnsiTheme="majorEastAsia" w:cstheme="majorEastAsia" w:hint="eastAsia"/>
                <w:color w:val="000000"/>
                <w:sz w:val="24"/>
              </w:rPr>
              <w:t>组别</w:t>
            </w:r>
          </w:p>
        </w:tc>
        <w:tc>
          <w:tcPr>
            <w:tcW w:w="1679" w:type="dxa"/>
            <w:vMerge w:val="restart"/>
            <w:tcBorders>
              <w:top w:val="single" w:sz="18" w:space="0" w:color="auto"/>
              <w:left w:val="nil"/>
              <w:bottom w:val="nil"/>
              <w:right w:val="nil"/>
            </w:tcBorders>
            <w:shd w:val="clear" w:color="auto" w:fill="FFFFFF"/>
          </w:tcPr>
          <w:p w14:paraId="676B1EF9"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例数</w:t>
            </w:r>
          </w:p>
        </w:tc>
        <w:tc>
          <w:tcPr>
            <w:tcW w:w="3358" w:type="dxa"/>
            <w:gridSpan w:val="2"/>
            <w:tcBorders>
              <w:top w:val="single" w:sz="18" w:space="0" w:color="auto"/>
              <w:left w:val="nil"/>
              <w:bottom w:val="nil"/>
              <w:right w:val="nil"/>
            </w:tcBorders>
            <w:shd w:val="clear" w:color="auto" w:fill="FFFFFF"/>
          </w:tcPr>
          <w:p w14:paraId="163FF28E" w14:textId="77777777" w:rsidR="0029401A" w:rsidRDefault="00000000">
            <w:pPr>
              <w:widowControl/>
              <w:numPr>
                <w:ilvl w:val="255"/>
                <w:numId w:val="0"/>
              </w:numPr>
              <w:spacing w:line="360" w:lineRule="auto"/>
              <w:ind w:firstLineChars="300" w:firstLine="720"/>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SAS评分</w:t>
            </w:r>
          </w:p>
        </w:tc>
        <w:tc>
          <w:tcPr>
            <w:tcW w:w="3360" w:type="dxa"/>
            <w:gridSpan w:val="2"/>
            <w:tcBorders>
              <w:top w:val="single" w:sz="18" w:space="0" w:color="auto"/>
              <w:left w:val="nil"/>
              <w:bottom w:val="nil"/>
              <w:right w:val="nil"/>
            </w:tcBorders>
            <w:shd w:val="clear" w:color="auto" w:fill="FFFFFF"/>
          </w:tcPr>
          <w:p w14:paraId="4DCD7713" w14:textId="77777777" w:rsidR="0029401A" w:rsidRDefault="00000000">
            <w:pPr>
              <w:widowControl/>
              <w:numPr>
                <w:ilvl w:val="255"/>
                <w:numId w:val="0"/>
              </w:numPr>
              <w:spacing w:line="360" w:lineRule="auto"/>
              <w:ind w:firstLineChars="300" w:firstLine="720"/>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SDS评分</w:t>
            </w:r>
          </w:p>
        </w:tc>
      </w:tr>
      <w:tr w:rsidR="0029401A" w14:paraId="29180CDF" w14:textId="77777777">
        <w:tc>
          <w:tcPr>
            <w:tcW w:w="1679" w:type="dxa"/>
            <w:vMerge/>
            <w:tcBorders>
              <w:top w:val="nil"/>
              <w:left w:val="nil"/>
              <w:bottom w:val="single" w:sz="12" w:space="0" w:color="auto"/>
              <w:right w:val="nil"/>
            </w:tcBorders>
            <w:shd w:val="clear" w:color="auto" w:fill="FFFFFF"/>
          </w:tcPr>
          <w:p w14:paraId="5AE821D7" w14:textId="77777777" w:rsidR="0029401A" w:rsidRDefault="0029401A">
            <w:pPr>
              <w:widowControl/>
              <w:numPr>
                <w:ilvl w:val="255"/>
                <w:numId w:val="0"/>
              </w:numPr>
              <w:spacing w:line="360" w:lineRule="auto"/>
              <w:jc w:val="left"/>
              <w:rPr>
                <w:rFonts w:asciiTheme="majorEastAsia" w:eastAsiaTheme="majorEastAsia" w:hAnsiTheme="majorEastAsia" w:cstheme="majorEastAsia" w:hint="eastAsia"/>
                <w:color w:val="000000"/>
                <w:sz w:val="24"/>
              </w:rPr>
            </w:pPr>
          </w:p>
        </w:tc>
        <w:tc>
          <w:tcPr>
            <w:tcW w:w="1679" w:type="dxa"/>
            <w:vMerge/>
            <w:tcBorders>
              <w:top w:val="nil"/>
              <w:left w:val="nil"/>
              <w:bottom w:val="single" w:sz="12" w:space="0" w:color="auto"/>
              <w:right w:val="nil"/>
            </w:tcBorders>
            <w:shd w:val="clear" w:color="auto" w:fill="FFFFFF"/>
          </w:tcPr>
          <w:p w14:paraId="6B97EC33" w14:textId="77777777" w:rsidR="0029401A" w:rsidRDefault="0029401A">
            <w:pPr>
              <w:widowControl/>
              <w:numPr>
                <w:ilvl w:val="255"/>
                <w:numId w:val="0"/>
              </w:numPr>
              <w:spacing w:line="360" w:lineRule="auto"/>
              <w:jc w:val="left"/>
              <w:rPr>
                <w:rFonts w:asciiTheme="majorEastAsia" w:eastAsiaTheme="majorEastAsia" w:hAnsiTheme="majorEastAsia" w:cstheme="majorEastAsia" w:hint="eastAsia"/>
                <w:color w:val="000000"/>
                <w:sz w:val="24"/>
              </w:rPr>
            </w:pPr>
          </w:p>
        </w:tc>
        <w:tc>
          <w:tcPr>
            <w:tcW w:w="1679" w:type="dxa"/>
            <w:tcBorders>
              <w:top w:val="nil"/>
              <w:left w:val="nil"/>
              <w:bottom w:val="single" w:sz="12" w:space="0" w:color="auto"/>
              <w:right w:val="nil"/>
            </w:tcBorders>
            <w:shd w:val="clear" w:color="auto" w:fill="FFFFFF"/>
          </w:tcPr>
          <w:p w14:paraId="1CBFE145"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术前</w:t>
            </w:r>
          </w:p>
        </w:tc>
        <w:tc>
          <w:tcPr>
            <w:tcW w:w="1679" w:type="dxa"/>
            <w:tcBorders>
              <w:top w:val="nil"/>
              <w:left w:val="nil"/>
              <w:bottom w:val="single" w:sz="12" w:space="0" w:color="auto"/>
              <w:right w:val="nil"/>
            </w:tcBorders>
            <w:shd w:val="clear" w:color="auto" w:fill="FFFFFF"/>
          </w:tcPr>
          <w:p w14:paraId="4EA7E97D"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术后</w:t>
            </w:r>
          </w:p>
        </w:tc>
        <w:tc>
          <w:tcPr>
            <w:tcW w:w="1680" w:type="dxa"/>
            <w:tcBorders>
              <w:top w:val="nil"/>
              <w:left w:val="nil"/>
              <w:bottom w:val="single" w:sz="12" w:space="0" w:color="auto"/>
              <w:right w:val="nil"/>
            </w:tcBorders>
            <w:shd w:val="clear" w:color="auto" w:fill="FFFFFF"/>
          </w:tcPr>
          <w:p w14:paraId="3BC1A010"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术前</w:t>
            </w:r>
          </w:p>
        </w:tc>
        <w:tc>
          <w:tcPr>
            <w:tcW w:w="1680" w:type="dxa"/>
            <w:tcBorders>
              <w:top w:val="nil"/>
              <w:left w:val="nil"/>
              <w:bottom w:val="single" w:sz="12" w:space="0" w:color="auto"/>
              <w:right w:val="nil"/>
            </w:tcBorders>
            <w:shd w:val="clear" w:color="auto" w:fill="FFFFFF"/>
          </w:tcPr>
          <w:p w14:paraId="2243DE17"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术后</w:t>
            </w:r>
          </w:p>
        </w:tc>
      </w:tr>
      <w:tr w:rsidR="0029401A" w14:paraId="19C14A98" w14:textId="77777777">
        <w:tc>
          <w:tcPr>
            <w:tcW w:w="1679" w:type="dxa"/>
            <w:tcBorders>
              <w:top w:val="single" w:sz="12" w:space="0" w:color="auto"/>
              <w:left w:val="nil"/>
              <w:bottom w:val="nil"/>
              <w:right w:val="nil"/>
            </w:tcBorders>
            <w:shd w:val="clear" w:color="auto" w:fill="FFFFFF"/>
          </w:tcPr>
          <w:p w14:paraId="51B79B00"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对照组</w:t>
            </w:r>
          </w:p>
        </w:tc>
        <w:tc>
          <w:tcPr>
            <w:tcW w:w="1679" w:type="dxa"/>
            <w:tcBorders>
              <w:top w:val="single" w:sz="12" w:space="0" w:color="auto"/>
              <w:left w:val="nil"/>
              <w:bottom w:val="nil"/>
              <w:right w:val="nil"/>
            </w:tcBorders>
            <w:shd w:val="clear" w:color="auto" w:fill="FFFFFF"/>
          </w:tcPr>
          <w:p w14:paraId="3C321883"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50</w:t>
            </w:r>
          </w:p>
        </w:tc>
        <w:tc>
          <w:tcPr>
            <w:tcW w:w="1679" w:type="dxa"/>
            <w:tcBorders>
              <w:top w:val="single" w:sz="12" w:space="0" w:color="auto"/>
              <w:left w:val="nil"/>
              <w:bottom w:val="nil"/>
              <w:right w:val="nil"/>
            </w:tcBorders>
            <w:shd w:val="clear" w:color="auto" w:fill="FFFFFF"/>
          </w:tcPr>
          <w:p w14:paraId="73886457"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60.43±3.02</w:t>
            </w:r>
          </w:p>
        </w:tc>
        <w:tc>
          <w:tcPr>
            <w:tcW w:w="1679" w:type="dxa"/>
            <w:tcBorders>
              <w:top w:val="single" w:sz="12" w:space="0" w:color="auto"/>
              <w:left w:val="nil"/>
              <w:bottom w:val="nil"/>
              <w:right w:val="nil"/>
            </w:tcBorders>
            <w:shd w:val="clear" w:color="auto" w:fill="FFFFFF"/>
          </w:tcPr>
          <w:p w14:paraId="4814EF2D"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40.18±3.16</w:t>
            </w:r>
          </w:p>
        </w:tc>
        <w:tc>
          <w:tcPr>
            <w:tcW w:w="1680" w:type="dxa"/>
            <w:tcBorders>
              <w:top w:val="single" w:sz="12" w:space="0" w:color="auto"/>
              <w:left w:val="nil"/>
              <w:bottom w:val="nil"/>
              <w:right w:val="nil"/>
            </w:tcBorders>
            <w:shd w:val="clear" w:color="auto" w:fill="FFFFFF"/>
          </w:tcPr>
          <w:p w14:paraId="52C7186A"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60.72±3.03</w:t>
            </w:r>
          </w:p>
        </w:tc>
        <w:tc>
          <w:tcPr>
            <w:tcW w:w="1680" w:type="dxa"/>
            <w:tcBorders>
              <w:top w:val="single" w:sz="12" w:space="0" w:color="auto"/>
              <w:left w:val="nil"/>
              <w:bottom w:val="nil"/>
              <w:right w:val="nil"/>
            </w:tcBorders>
            <w:shd w:val="clear" w:color="auto" w:fill="FFFFFF"/>
          </w:tcPr>
          <w:p w14:paraId="1B608CEC"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39.29±2.03</w:t>
            </w:r>
          </w:p>
        </w:tc>
      </w:tr>
      <w:tr w:rsidR="0029401A" w14:paraId="4FE56C08" w14:textId="77777777">
        <w:tc>
          <w:tcPr>
            <w:tcW w:w="1679" w:type="dxa"/>
            <w:tcBorders>
              <w:top w:val="nil"/>
              <w:left w:val="nil"/>
              <w:bottom w:val="nil"/>
              <w:right w:val="nil"/>
            </w:tcBorders>
            <w:shd w:val="clear" w:color="auto" w:fill="FFFFFF"/>
          </w:tcPr>
          <w:p w14:paraId="258413C2"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观察组</w:t>
            </w:r>
          </w:p>
        </w:tc>
        <w:tc>
          <w:tcPr>
            <w:tcW w:w="1679" w:type="dxa"/>
            <w:tcBorders>
              <w:top w:val="nil"/>
              <w:left w:val="nil"/>
              <w:bottom w:val="nil"/>
              <w:right w:val="nil"/>
            </w:tcBorders>
            <w:shd w:val="clear" w:color="auto" w:fill="FFFFFF"/>
          </w:tcPr>
          <w:p w14:paraId="79CB127A"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50</w:t>
            </w:r>
          </w:p>
        </w:tc>
        <w:tc>
          <w:tcPr>
            <w:tcW w:w="1679" w:type="dxa"/>
            <w:tcBorders>
              <w:top w:val="nil"/>
              <w:left w:val="nil"/>
              <w:bottom w:val="nil"/>
              <w:right w:val="nil"/>
            </w:tcBorders>
            <w:shd w:val="clear" w:color="auto" w:fill="FFFFFF"/>
          </w:tcPr>
          <w:p w14:paraId="2AE26350"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60.52±3.01</w:t>
            </w:r>
          </w:p>
        </w:tc>
        <w:tc>
          <w:tcPr>
            <w:tcW w:w="1679" w:type="dxa"/>
            <w:tcBorders>
              <w:top w:val="nil"/>
              <w:left w:val="nil"/>
              <w:bottom w:val="nil"/>
              <w:right w:val="nil"/>
            </w:tcBorders>
            <w:shd w:val="clear" w:color="auto" w:fill="FFFFFF"/>
          </w:tcPr>
          <w:p w14:paraId="1F67962D"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44.34±3.23</w:t>
            </w:r>
          </w:p>
        </w:tc>
        <w:tc>
          <w:tcPr>
            <w:tcW w:w="1680" w:type="dxa"/>
            <w:tcBorders>
              <w:top w:val="nil"/>
              <w:left w:val="nil"/>
              <w:bottom w:val="nil"/>
              <w:right w:val="nil"/>
            </w:tcBorders>
            <w:shd w:val="clear" w:color="auto" w:fill="FFFFFF"/>
          </w:tcPr>
          <w:p w14:paraId="01C0F622"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60.82±3.05</w:t>
            </w:r>
          </w:p>
        </w:tc>
        <w:tc>
          <w:tcPr>
            <w:tcW w:w="1680" w:type="dxa"/>
            <w:tcBorders>
              <w:top w:val="nil"/>
              <w:left w:val="nil"/>
              <w:bottom w:val="nil"/>
              <w:right w:val="nil"/>
            </w:tcBorders>
            <w:shd w:val="clear" w:color="auto" w:fill="FFFFFF"/>
          </w:tcPr>
          <w:p w14:paraId="5D4F4036"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43.62±2.17</w:t>
            </w:r>
          </w:p>
        </w:tc>
      </w:tr>
      <w:tr w:rsidR="0029401A" w14:paraId="5B181DCD" w14:textId="77777777">
        <w:tc>
          <w:tcPr>
            <w:tcW w:w="1679" w:type="dxa"/>
            <w:tcBorders>
              <w:top w:val="nil"/>
              <w:left w:val="nil"/>
              <w:bottom w:val="nil"/>
              <w:right w:val="nil"/>
            </w:tcBorders>
            <w:shd w:val="clear" w:color="auto" w:fill="FFFFFF"/>
          </w:tcPr>
          <w:p w14:paraId="6B8A27F3"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i/>
                <w:iCs/>
                <w:color w:val="000000"/>
                <w:sz w:val="24"/>
              </w:rPr>
              <w:t>t</w:t>
            </w:r>
            <w:r>
              <w:rPr>
                <w:rFonts w:asciiTheme="majorEastAsia" w:eastAsiaTheme="majorEastAsia" w:hAnsiTheme="majorEastAsia" w:cstheme="majorEastAsia" w:hint="eastAsia"/>
                <w:color w:val="000000"/>
                <w:sz w:val="24"/>
              </w:rPr>
              <w:t xml:space="preserve">值                                             </w:t>
            </w:r>
          </w:p>
        </w:tc>
        <w:tc>
          <w:tcPr>
            <w:tcW w:w="1679" w:type="dxa"/>
            <w:vMerge w:val="restart"/>
            <w:tcBorders>
              <w:top w:val="nil"/>
              <w:left w:val="nil"/>
              <w:bottom w:val="nil"/>
              <w:right w:val="nil"/>
            </w:tcBorders>
            <w:shd w:val="clear" w:color="auto" w:fill="FFFFFF"/>
          </w:tcPr>
          <w:p w14:paraId="02CE21FB" w14:textId="77777777" w:rsidR="0029401A" w:rsidRDefault="0029401A">
            <w:pPr>
              <w:widowControl/>
              <w:numPr>
                <w:ilvl w:val="255"/>
                <w:numId w:val="0"/>
              </w:numPr>
              <w:spacing w:line="360" w:lineRule="auto"/>
              <w:jc w:val="left"/>
              <w:rPr>
                <w:rFonts w:asciiTheme="majorEastAsia" w:eastAsiaTheme="majorEastAsia" w:hAnsiTheme="majorEastAsia" w:cstheme="majorEastAsia" w:hint="eastAsia"/>
                <w:color w:val="000000"/>
                <w:sz w:val="24"/>
              </w:rPr>
            </w:pPr>
          </w:p>
        </w:tc>
        <w:tc>
          <w:tcPr>
            <w:tcW w:w="1679" w:type="dxa"/>
            <w:tcBorders>
              <w:top w:val="nil"/>
              <w:left w:val="nil"/>
              <w:bottom w:val="nil"/>
              <w:right w:val="nil"/>
            </w:tcBorders>
            <w:shd w:val="clear" w:color="auto" w:fill="FFFFFF"/>
          </w:tcPr>
          <w:p w14:paraId="1A93BA52"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0.063</w:t>
            </w:r>
          </w:p>
        </w:tc>
        <w:tc>
          <w:tcPr>
            <w:tcW w:w="1679" w:type="dxa"/>
            <w:tcBorders>
              <w:top w:val="nil"/>
              <w:left w:val="nil"/>
              <w:bottom w:val="nil"/>
              <w:right w:val="nil"/>
            </w:tcBorders>
            <w:shd w:val="clear" w:color="auto" w:fill="FFFFFF"/>
          </w:tcPr>
          <w:p w14:paraId="27F80AB4"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5.884</w:t>
            </w:r>
          </w:p>
        </w:tc>
        <w:tc>
          <w:tcPr>
            <w:tcW w:w="1680" w:type="dxa"/>
            <w:tcBorders>
              <w:top w:val="nil"/>
              <w:left w:val="nil"/>
              <w:bottom w:val="nil"/>
              <w:right w:val="nil"/>
            </w:tcBorders>
            <w:shd w:val="clear" w:color="auto" w:fill="FFFFFF"/>
          </w:tcPr>
          <w:p w14:paraId="7AA0E8D4"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0.162</w:t>
            </w:r>
          </w:p>
        </w:tc>
        <w:tc>
          <w:tcPr>
            <w:tcW w:w="1680" w:type="dxa"/>
            <w:tcBorders>
              <w:top w:val="nil"/>
              <w:left w:val="nil"/>
              <w:bottom w:val="nil"/>
              <w:right w:val="nil"/>
            </w:tcBorders>
            <w:shd w:val="clear" w:color="auto" w:fill="FFFFFF"/>
          </w:tcPr>
          <w:p w14:paraId="76CC800A"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9.234</w:t>
            </w:r>
          </w:p>
        </w:tc>
      </w:tr>
      <w:tr w:rsidR="0029401A" w14:paraId="474988CE" w14:textId="77777777">
        <w:tc>
          <w:tcPr>
            <w:tcW w:w="1679" w:type="dxa"/>
            <w:tcBorders>
              <w:top w:val="nil"/>
              <w:left w:val="nil"/>
              <w:bottom w:val="single" w:sz="18" w:space="0" w:color="auto"/>
              <w:right w:val="nil"/>
            </w:tcBorders>
            <w:shd w:val="clear" w:color="auto" w:fill="FFFFFF"/>
          </w:tcPr>
          <w:p w14:paraId="15E1C176"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P值</w:t>
            </w:r>
          </w:p>
        </w:tc>
        <w:tc>
          <w:tcPr>
            <w:tcW w:w="1679" w:type="dxa"/>
            <w:vMerge/>
            <w:tcBorders>
              <w:top w:val="nil"/>
              <w:left w:val="nil"/>
              <w:bottom w:val="single" w:sz="18" w:space="0" w:color="auto"/>
              <w:right w:val="nil"/>
            </w:tcBorders>
            <w:shd w:val="clear" w:color="auto" w:fill="FFFFFF"/>
          </w:tcPr>
          <w:p w14:paraId="6E30CF2C" w14:textId="77777777" w:rsidR="0029401A" w:rsidRDefault="0029401A">
            <w:pPr>
              <w:widowControl/>
              <w:numPr>
                <w:ilvl w:val="255"/>
                <w:numId w:val="0"/>
              </w:numPr>
              <w:spacing w:line="360" w:lineRule="auto"/>
              <w:jc w:val="left"/>
              <w:rPr>
                <w:rFonts w:asciiTheme="majorEastAsia" w:eastAsiaTheme="majorEastAsia" w:hAnsiTheme="majorEastAsia" w:cstheme="majorEastAsia" w:hint="eastAsia"/>
                <w:color w:val="000000"/>
                <w:sz w:val="24"/>
              </w:rPr>
            </w:pPr>
          </w:p>
        </w:tc>
        <w:tc>
          <w:tcPr>
            <w:tcW w:w="1679" w:type="dxa"/>
            <w:tcBorders>
              <w:top w:val="nil"/>
              <w:left w:val="nil"/>
              <w:bottom w:val="single" w:sz="18" w:space="0" w:color="auto"/>
              <w:right w:val="nil"/>
            </w:tcBorders>
            <w:shd w:val="clear" w:color="auto" w:fill="FFFFFF"/>
          </w:tcPr>
          <w:p w14:paraId="438F78EB"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0.943</w:t>
            </w:r>
          </w:p>
        </w:tc>
        <w:tc>
          <w:tcPr>
            <w:tcW w:w="1679" w:type="dxa"/>
            <w:tcBorders>
              <w:top w:val="nil"/>
              <w:left w:val="nil"/>
              <w:bottom w:val="single" w:sz="18" w:space="0" w:color="auto"/>
              <w:right w:val="nil"/>
            </w:tcBorders>
            <w:shd w:val="clear" w:color="auto" w:fill="FFFFFF"/>
          </w:tcPr>
          <w:p w14:paraId="735CFB7C"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&lt;0.05</w:t>
            </w:r>
          </w:p>
        </w:tc>
        <w:tc>
          <w:tcPr>
            <w:tcW w:w="1680" w:type="dxa"/>
            <w:tcBorders>
              <w:top w:val="nil"/>
              <w:left w:val="nil"/>
              <w:bottom w:val="single" w:sz="18" w:space="0" w:color="auto"/>
              <w:right w:val="nil"/>
            </w:tcBorders>
            <w:shd w:val="clear" w:color="auto" w:fill="FFFFFF"/>
          </w:tcPr>
          <w:p w14:paraId="4954AD6F"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0.863</w:t>
            </w:r>
          </w:p>
        </w:tc>
        <w:tc>
          <w:tcPr>
            <w:tcW w:w="1680" w:type="dxa"/>
            <w:tcBorders>
              <w:top w:val="nil"/>
              <w:left w:val="nil"/>
              <w:bottom w:val="single" w:sz="18" w:space="0" w:color="auto"/>
              <w:right w:val="nil"/>
            </w:tcBorders>
            <w:shd w:val="clear" w:color="auto" w:fill="FFFFFF"/>
          </w:tcPr>
          <w:p w14:paraId="2B3B9880"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&lt;0.01</w:t>
            </w:r>
          </w:p>
        </w:tc>
      </w:tr>
      <w:bookmarkEnd w:id="9"/>
    </w:tbl>
    <w:p w14:paraId="196D2076" w14:textId="77777777" w:rsidR="0029401A" w:rsidRDefault="0029401A">
      <w:pPr>
        <w:widowControl/>
        <w:numPr>
          <w:ilvl w:val="255"/>
          <w:numId w:val="0"/>
        </w:numPr>
        <w:spacing w:line="360" w:lineRule="auto"/>
        <w:jc w:val="left"/>
        <w:rPr>
          <w:rFonts w:asciiTheme="majorEastAsia" w:eastAsiaTheme="majorEastAsia" w:hAnsiTheme="majorEastAsia" w:cstheme="majorEastAsia" w:hint="eastAsia"/>
          <w:sz w:val="24"/>
        </w:rPr>
      </w:pPr>
    </w:p>
    <w:p w14:paraId="78BC5DE7" w14:textId="77777777" w:rsidR="0029401A" w:rsidRDefault="00000000">
      <w:pPr>
        <w:widowControl/>
        <w:spacing w:line="360" w:lineRule="auto"/>
        <w:rPr>
          <w:rFonts w:asciiTheme="majorEastAsia" w:eastAsiaTheme="majorEastAsia" w:hAnsiTheme="majorEastAsia" w:cstheme="majorEastAsia" w:hint="eastAsia"/>
          <w:sz w:val="24"/>
        </w:rPr>
      </w:pPr>
      <w:r>
        <w:rPr>
          <w:rFonts w:ascii="Times New Roman" w:eastAsia="宋体" w:hAnsi="Times New Roman" w:cs="Times New Roman" w:hint="eastAsia"/>
          <w:b/>
          <w:bCs/>
          <w:kern w:val="20"/>
          <w:sz w:val="24"/>
        </w:rPr>
        <w:t>2.5</w:t>
      </w:r>
      <w:r>
        <w:rPr>
          <w:rFonts w:ascii="Times New Roman" w:eastAsia="宋体" w:hAnsi="Times New Roman" w:cs="Times New Roman" w:hint="eastAsia"/>
          <w:b/>
          <w:bCs/>
          <w:kern w:val="20"/>
          <w:sz w:val="24"/>
        </w:rPr>
        <w:t>两组护理满意度比较</w:t>
      </w:r>
      <w:r>
        <w:rPr>
          <w:rFonts w:ascii="Times New Roman" w:eastAsia="宋体" w:hAnsi="Times New Roman" w:cs="Times New Roman" w:hint="eastAsia"/>
          <w:b/>
          <w:bCs/>
          <w:kern w:val="20"/>
          <w:sz w:val="24"/>
        </w:rPr>
        <w:t xml:space="preserve">  </w:t>
      </w:r>
      <w:r>
        <w:rPr>
          <w:rFonts w:ascii="Times New Roman" w:eastAsiaTheme="majorEastAsia" w:hAnsi="Times New Roman" w:cs="Times New Roman"/>
          <w:sz w:val="24"/>
        </w:rPr>
        <w:t>观察组护理总满意度为</w:t>
      </w:r>
      <w:r>
        <w:rPr>
          <w:rFonts w:ascii="Times New Roman" w:eastAsiaTheme="majorEastAsia" w:hAnsi="Times New Roman" w:cs="Times New Roman"/>
          <w:sz w:val="24"/>
        </w:rPr>
        <w:t>100%</w:t>
      </w:r>
      <w:r>
        <w:rPr>
          <w:rFonts w:ascii="Times New Roman" w:eastAsiaTheme="majorEastAsia" w:hAnsi="Times New Roman" w:cs="Times New Roman"/>
          <w:sz w:val="24"/>
        </w:rPr>
        <w:t>，高于对照组</w:t>
      </w:r>
      <w:r>
        <w:rPr>
          <w:rFonts w:ascii="Times New Roman" w:eastAsiaTheme="majorEastAsia" w:hAnsi="Times New Roman" w:cs="Times New Roman"/>
          <w:sz w:val="24"/>
        </w:rPr>
        <w:t>16%</w:t>
      </w:r>
      <w:r>
        <w:rPr>
          <w:rFonts w:ascii="Times New Roman" w:eastAsiaTheme="majorEastAsia" w:hAnsi="Times New Roman" w:cs="Times New Roman"/>
          <w:sz w:val="24"/>
        </w:rPr>
        <w:t>，差异有统计学意义（</w:t>
      </w:r>
      <w:r>
        <w:rPr>
          <w:rFonts w:ascii="Times New Roman" w:eastAsiaTheme="majorEastAsia" w:hAnsi="Times New Roman" w:cs="Times New Roman"/>
          <w:i/>
          <w:iCs/>
          <w:sz w:val="24"/>
        </w:rPr>
        <w:t>P</w:t>
      </w:r>
      <w:r>
        <w:rPr>
          <w:rFonts w:ascii="Times New Roman" w:eastAsiaTheme="majorEastAsia" w:hAnsi="Times New Roman" w:cs="Times New Roman"/>
          <w:sz w:val="24"/>
        </w:rPr>
        <w:t>&lt;0.05</w:t>
      </w:r>
      <w:r>
        <w:rPr>
          <w:rFonts w:ascii="Times New Roman" w:eastAsiaTheme="majorEastAsia" w:hAnsi="Times New Roman" w:cs="Times New Roman" w:hint="eastAsia"/>
          <w:sz w:val="24"/>
        </w:rPr>
        <w:t>），详</w:t>
      </w:r>
      <w:r>
        <w:rPr>
          <w:rFonts w:asciiTheme="majorEastAsia" w:eastAsiaTheme="majorEastAsia" w:hAnsiTheme="majorEastAsia" w:cstheme="majorEastAsia" w:hint="eastAsia"/>
          <w:sz w:val="24"/>
        </w:rPr>
        <w:t>见表5。</w:t>
      </w:r>
    </w:p>
    <w:p w14:paraId="6905B626"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sz w:val="24"/>
        </w:rPr>
      </w:pPr>
      <w:r>
        <w:rPr>
          <w:rFonts w:asciiTheme="majorEastAsia" w:eastAsiaTheme="majorEastAsia" w:hAnsiTheme="majorEastAsia" w:cstheme="majorEastAsia" w:hint="eastAsia"/>
          <w:sz w:val="24"/>
        </w:rPr>
        <w:lastRenderedPageBreak/>
        <w:t>表5 两组护理满意度的评分</w:t>
      </w:r>
    </w:p>
    <w:tbl>
      <w:tblPr>
        <w:tblStyle w:val="a8"/>
        <w:tblpPr w:leftFromText="180" w:rightFromText="180" w:vertAnchor="text" w:horzAnchor="page" w:tblpX="1576" w:tblpY="311"/>
        <w:tblOverlap w:val="never"/>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7"/>
        <w:gridCol w:w="1178"/>
        <w:gridCol w:w="1189"/>
        <w:gridCol w:w="1189"/>
        <w:gridCol w:w="1152"/>
        <w:gridCol w:w="1178"/>
        <w:gridCol w:w="1243"/>
      </w:tblGrid>
      <w:tr w:rsidR="0029401A" w14:paraId="31C35103" w14:textId="77777777">
        <w:tc>
          <w:tcPr>
            <w:tcW w:w="1213" w:type="dxa"/>
            <w:tcBorders>
              <w:top w:val="single" w:sz="18" w:space="0" w:color="auto"/>
              <w:bottom w:val="single" w:sz="12" w:space="0" w:color="auto"/>
              <w:tl2br w:val="nil"/>
            </w:tcBorders>
            <w:shd w:val="clear" w:color="auto" w:fill="FFFFFF"/>
          </w:tcPr>
          <w:p w14:paraId="04A281DD"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组别</w:t>
            </w:r>
          </w:p>
        </w:tc>
        <w:tc>
          <w:tcPr>
            <w:tcW w:w="1213" w:type="dxa"/>
            <w:tcBorders>
              <w:top w:val="single" w:sz="18" w:space="0" w:color="auto"/>
              <w:bottom w:val="single" w:sz="12" w:space="0" w:color="auto"/>
            </w:tcBorders>
            <w:shd w:val="clear" w:color="auto" w:fill="FFFFFF"/>
          </w:tcPr>
          <w:p w14:paraId="6FB945F3"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例数</w:t>
            </w:r>
          </w:p>
        </w:tc>
        <w:tc>
          <w:tcPr>
            <w:tcW w:w="1213" w:type="dxa"/>
            <w:tcBorders>
              <w:top w:val="single" w:sz="18" w:space="0" w:color="auto"/>
              <w:bottom w:val="single" w:sz="12" w:space="0" w:color="auto"/>
            </w:tcBorders>
            <w:shd w:val="clear" w:color="auto" w:fill="FFFFFF"/>
          </w:tcPr>
          <w:p w14:paraId="550198EA"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非常满意</w:t>
            </w:r>
          </w:p>
        </w:tc>
        <w:tc>
          <w:tcPr>
            <w:tcW w:w="1213" w:type="dxa"/>
            <w:tcBorders>
              <w:top w:val="single" w:sz="18" w:space="0" w:color="auto"/>
              <w:bottom w:val="single" w:sz="12" w:space="0" w:color="auto"/>
            </w:tcBorders>
            <w:shd w:val="clear" w:color="auto" w:fill="FFFFFF"/>
          </w:tcPr>
          <w:p w14:paraId="5E4AEAF2" w14:textId="77777777" w:rsidR="0029401A" w:rsidRDefault="00000000">
            <w:pPr>
              <w:widowControl/>
              <w:numPr>
                <w:ilvl w:val="255"/>
                <w:numId w:val="0"/>
              </w:numPr>
              <w:spacing w:line="360" w:lineRule="auto"/>
              <w:jc w:val="center"/>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满 意</w:t>
            </w:r>
          </w:p>
        </w:tc>
        <w:tc>
          <w:tcPr>
            <w:tcW w:w="1186" w:type="dxa"/>
            <w:tcBorders>
              <w:top w:val="single" w:sz="18" w:space="0" w:color="auto"/>
              <w:bottom w:val="single" w:sz="12" w:space="0" w:color="auto"/>
            </w:tcBorders>
            <w:shd w:val="clear" w:color="auto" w:fill="FFFFFF"/>
          </w:tcPr>
          <w:p w14:paraId="0F3D237F"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 xml:space="preserve"> 尚可</w:t>
            </w:r>
          </w:p>
        </w:tc>
        <w:tc>
          <w:tcPr>
            <w:tcW w:w="1214" w:type="dxa"/>
            <w:tcBorders>
              <w:top w:val="single" w:sz="18" w:space="0" w:color="auto"/>
              <w:bottom w:val="single" w:sz="12" w:space="0" w:color="auto"/>
            </w:tcBorders>
            <w:shd w:val="clear" w:color="auto" w:fill="FFFFFF"/>
          </w:tcPr>
          <w:p w14:paraId="02CD8788"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不满意</w:t>
            </w:r>
          </w:p>
        </w:tc>
        <w:tc>
          <w:tcPr>
            <w:tcW w:w="1270" w:type="dxa"/>
            <w:tcBorders>
              <w:top w:val="single" w:sz="18" w:space="0" w:color="auto"/>
              <w:bottom w:val="single" w:sz="12" w:space="0" w:color="auto"/>
            </w:tcBorders>
            <w:shd w:val="clear" w:color="auto" w:fill="FFFFFF"/>
          </w:tcPr>
          <w:p w14:paraId="3C020A70"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总满意度</w:t>
            </w:r>
          </w:p>
        </w:tc>
      </w:tr>
      <w:tr w:rsidR="0029401A" w14:paraId="24A7BB11" w14:textId="77777777">
        <w:tc>
          <w:tcPr>
            <w:tcW w:w="1213" w:type="dxa"/>
            <w:tcBorders>
              <w:top w:val="single" w:sz="12" w:space="0" w:color="auto"/>
            </w:tcBorders>
            <w:shd w:val="clear" w:color="auto" w:fill="FFFFFF"/>
          </w:tcPr>
          <w:p w14:paraId="23896487"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对照组</w:t>
            </w:r>
          </w:p>
        </w:tc>
        <w:tc>
          <w:tcPr>
            <w:tcW w:w="1213" w:type="dxa"/>
            <w:tcBorders>
              <w:top w:val="single" w:sz="12" w:space="0" w:color="auto"/>
            </w:tcBorders>
            <w:shd w:val="clear" w:color="auto" w:fill="FFFFFF"/>
          </w:tcPr>
          <w:p w14:paraId="4C4B1A58"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50</w:t>
            </w:r>
          </w:p>
        </w:tc>
        <w:tc>
          <w:tcPr>
            <w:tcW w:w="1213" w:type="dxa"/>
            <w:tcBorders>
              <w:top w:val="single" w:sz="12" w:space="0" w:color="auto"/>
            </w:tcBorders>
            <w:shd w:val="clear" w:color="auto" w:fill="FFFFFF"/>
          </w:tcPr>
          <w:p w14:paraId="78D74E6E" w14:textId="77777777" w:rsidR="0029401A" w:rsidRDefault="00000000">
            <w:pPr>
              <w:widowControl/>
              <w:numPr>
                <w:ilvl w:val="255"/>
                <w:numId w:val="0"/>
              </w:numPr>
              <w:spacing w:line="360" w:lineRule="auto"/>
              <w:ind w:firstLineChars="100" w:firstLine="240"/>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30</w:t>
            </w:r>
          </w:p>
        </w:tc>
        <w:tc>
          <w:tcPr>
            <w:tcW w:w="1213" w:type="dxa"/>
            <w:tcBorders>
              <w:top w:val="single" w:sz="12" w:space="0" w:color="auto"/>
            </w:tcBorders>
            <w:shd w:val="clear" w:color="auto" w:fill="FFFFFF"/>
          </w:tcPr>
          <w:p w14:paraId="448EEEFE" w14:textId="77777777" w:rsidR="0029401A" w:rsidRDefault="00000000">
            <w:pPr>
              <w:widowControl/>
              <w:numPr>
                <w:ilvl w:val="255"/>
                <w:numId w:val="0"/>
              </w:numPr>
              <w:spacing w:line="360" w:lineRule="auto"/>
              <w:ind w:firstLineChars="100" w:firstLine="240"/>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10</w:t>
            </w:r>
          </w:p>
        </w:tc>
        <w:tc>
          <w:tcPr>
            <w:tcW w:w="1186" w:type="dxa"/>
            <w:tcBorders>
              <w:top w:val="single" w:sz="12" w:space="0" w:color="auto"/>
            </w:tcBorders>
            <w:shd w:val="clear" w:color="auto" w:fill="FFFFFF"/>
          </w:tcPr>
          <w:p w14:paraId="3F631BAB"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 xml:space="preserve">  2</w:t>
            </w:r>
          </w:p>
        </w:tc>
        <w:tc>
          <w:tcPr>
            <w:tcW w:w="1214" w:type="dxa"/>
            <w:tcBorders>
              <w:top w:val="single" w:sz="12" w:space="0" w:color="auto"/>
            </w:tcBorders>
            <w:shd w:val="clear" w:color="auto" w:fill="FFFFFF"/>
          </w:tcPr>
          <w:p w14:paraId="0A94100D"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8</w:t>
            </w:r>
          </w:p>
        </w:tc>
        <w:tc>
          <w:tcPr>
            <w:tcW w:w="1270" w:type="dxa"/>
            <w:tcBorders>
              <w:top w:val="single" w:sz="12" w:space="0" w:color="auto"/>
            </w:tcBorders>
            <w:shd w:val="clear" w:color="auto" w:fill="FFFFFF"/>
          </w:tcPr>
          <w:p w14:paraId="27ACEEBE"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84%</w:t>
            </w:r>
          </w:p>
        </w:tc>
      </w:tr>
      <w:tr w:rsidR="0029401A" w14:paraId="326C583E" w14:textId="77777777">
        <w:tc>
          <w:tcPr>
            <w:tcW w:w="1213" w:type="dxa"/>
            <w:tcBorders>
              <w:bottom w:val="single" w:sz="18" w:space="0" w:color="auto"/>
            </w:tcBorders>
            <w:shd w:val="clear" w:color="auto" w:fill="FFFFFF"/>
          </w:tcPr>
          <w:p w14:paraId="5AC50AB0"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观察组</w:t>
            </w:r>
          </w:p>
        </w:tc>
        <w:tc>
          <w:tcPr>
            <w:tcW w:w="1213" w:type="dxa"/>
            <w:tcBorders>
              <w:bottom w:val="single" w:sz="18" w:space="0" w:color="auto"/>
            </w:tcBorders>
            <w:shd w:val="clear" w:color="auto" w:fill="FFFFFF"/>
          </w:tcPr>
          <w:p w14:paraId="6E791536"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50</w:t>
            </w:r>
          </w:p>
        </w:tc>
        <w:tc>
          <w:tcPr>
            <w:tcW w:w="1213" w:type="dxa"/>
            <w:tcBorders>
              <w:bottom w:val="single" w:sz="18" w:space="0" w:color="auto"/>
            </w:tcBorders>
            <w:shd w:val="clear" w:color="auto" w:fill="FFFFFF"/>
          </w:tcPr>
          <w:p w14:paraId="5E565DA5" w14:textId="77777777" w:rsidR="0029401A" w:rsidRDefault="00000000">
            <w:pPr>
              <w:widowControl/>
              <w:numPr>
                <w:ilvl w:val="255"/>
                <w:numId w:val="0"/>
              </w:numPr>
              <w:spacing w:line="360" w:lineRule="auto"/>
              <w:ind w:firstLineChars="100" w:firstLine="240"/>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45</w:t>
            </w:r>
          </w:p>
        </w:tc>
        <w:tc>
          <w:tcPr>
            <w:tcW w:w="1213" w:type="dxa"/>
            <w:tcBorders>
              <w:bottom w:val="single" w:sz="18" w:space="0" w:color="auto"/>
            </w:tcBorders>
            <w:shd w:val="clear" w:color="auto" w:fill="FFFFFF"/>
          </w:tcPr>
          <w:p w14:paraId="5703BA88"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 xml:space="preserve">   4</w:t>
            </w:r>
          </w:p>
        </w:tc>
        <w:tc>
          <w:tcPr>
            <w:tcW w:w="1186" w:type="dxa"/>
            <w:tcBorders>
              <w:bottom w:val="single" w:sz="18" w:space="0" w:color="auto"/>
            </w:tcBorders>
            <w:shd w:val="clear" w:color="auto" w:fill="FFFFFF"/>
          </w:tcPr>
          <w:p w14:paraId="112548B5"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 xml:space="preserve"> 1</w:t>
            </w:r>
          </w:p>
        </w:tc>
        <w:tc>
          <w:tcPr>
            <w:tcW w:w="1214" w:type="dxa"/>
            <w:tcBorders>
              <w:bottom w:val="single" w:sz="18" w:space="0" w:color="auto"/>
            </w:tcBorders>
            <w:shd w:val="clear" w:color="auto" w:fill="FFFFFF"/>
          </w:tcPr>
          <w:p w14:paraId="7D57EFB8"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0</w:t>
            </w:r>
          </w:p>
        </w:tc>
        <w:tc>
          <w:tcPr>
            <w:tcW w:w="1270" w:type="dxa"/>
            <w:tcBorders>
              <w:bottom w:val="single" w:sz="18" w:space="0" w:color="auto"/>
            </w:tcBorders>
            <w:shd w:val="clear" w:color="auto" w:fill="FFFFFF"/>
          </w:tcPr>
          <w:p w14:paraId="2943ACB3"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sz w:val="24"/>
              </w:rPr>
            </w:pPr>
            <w:r>
              <w:rPr>
                <w:rFonts w:asciiTheme="majorEastAsia" w:eastAsiaTheme="majorEastAsia" w:hAnsiTheme="majorEastAsia" w:cstheme="majorEastAsia" w:hint="eastAsia"/>
                <w:color w:val="000000"/>
                <w:sz w:val="24"/>
              </w:rPr>
              <w:t>100%</w:t>
            </w:r>
          </w:p>
        </w:tc>
      </w:tr>
    </w:tbl>
    <w:p w14:paraId="44EC4DBB" w14:textId="77777777" w:rsidR="0029401A" w:rsidRDefault="00000000">
      <w:pPr>
        <w:widowControl/>
        <w:numPr>
          <w:ilvl w:val="255"/>
          <w:numId w:val="0"/>
        </w:numPr>
        <w:tabs>
          <w:tab w:val="left" w:pos="363"/>
        </w:tabs>
        <w:spacing w:line="360" w:lineRule="auto"/>
        <w:jc w:val="left"/>
        <w:rPr>
          <w:rFonts w:asciiTheme="majorEastAsia" w:eastAsiaTheme="majorEastAsia" w:hAnsiTheme="majorEastAsia" w:cstheme="majorEastAsia" w:hint="eastAsia"/>
          <w:sz w:val="24"/>
        </w:rPr>
      </w:pPr>
      <w:r>
        <w:rPr>
          <w:rFonts w:asciiTheme="majorEastAsia" w:eastAsiaTheme="majorEastAsia" w:hAnsiTheme="majorEastAsia" w:cstheme="majorEastAsia" w:hint="eastAsia"/>
          <w:sz w:val="24"/>
        </w:rPr>
        <w:tab/>
      </w:r>
    </w:p>
    <w:p w14:paraId="7679D9C8" w14:textId="77777777" w:rsidR="0029401A" w:rsidRDefault="00000000">
      <w:pPr>
        <w:widowControl/>
        <w:numPr>
          <w:ilvl w:val="255"/>
          <w:numId w:val="0"/>
        </w:numPr>
        <w:spacing w:line="360" w:lineRule="auto"/>
        <w:jc w:val="left"/>
        <w:rPr>
          <w:rFonts w:ascii="Times New Roman" w:eastAsiaTheme="majorEastAsia" w:hAnsi="Times New Roman" w:cs="Times New Roman"/>
          <w:sz w:val="24"/>
        </w:rPr>
      </w:pPr>
      <w:r>
        <w:rPr>
          <w:rFonts w:ascii="Times New Roman" w:eastAsiaTheme="majorEastAsia" w:hAnsi="Times New Roman" w:cs="Times New Roman"/>
          <w:b/>
          <w:bCs/>
          <w:sz w:val="24"/>
        </w:rPr>
        <w:t>2.</w:t>
      </w:r>
      <w:r>
        <w:rPr>
          <w:rFonts w:ascii="Times New Roman" w:eastAsiaTheme="majorEastAsia" w:hAnsi="Times New Roman" w:cs="Times New Roman" w:hint="eastAsia"/>
          <w:b/>
          <w:bCs/>
          <w:sz w:val="24"/>
        </w:rPr>
        <w:t>6</w:t>
      </w:r>
      <w:r>
        <w:rPr>
          <w:rFonts w:ascii="Times New Roman" w:eastAsiaTheme="majorEastAsia" w:hAnsi="Times New Roman" w:cs="Times New Roman"/>
          <w:b/>
          <w:bCs/>
          <w:sz w:val="24"/>
        </w:rPr>
        <w:t>两组依从性比较</w:t>
      </w:r>
      <w:r>
        <w:rPr>
          <w:rFonts w:ascii="Times New Roman" w:eastAsiaTheme="majorEastAsia" w:hAnsi="Times New Roman" w:cs="Times New Roman" w:hint="eastAsia"/>
          <w:b/>
          <w:bCs/>
          <w:sz w:val="24"/>
        </w:rPr>
        <w:t xml:space="preserve">  </w:t>
      </w:r>
      <w:r>
        <w:rPr>
          <w:rFonts w:ascii="Times New Roman" w:eastAsiaTheme="majorEastAsia" w:hAnsi="Times New Roman" w:cs="Times New Roman"/>
          <w:sz w:val="24"/>
        </w:rPr>
        <w:t>观察</w:t>
      </w:r>
      <w:r>
        <w:rPr>
          <w:rFonts w:ascii="Times New Roman" w:eastAsiaTheme="majorEastAsia" w:hAnsi="Times New Roman" w:cs="Times New Roman"/>
          <w:kern w:val="20"/>
          <w:sz w:val="24"/>
        </w:rPr>
        <w:t>组依从性高于对照组，</w:t>
      </w:r>
      <w:r>
        <w:rPr>
          <w:rFonts w:ascii="Times New Roman" w:eastAsiaTheme="majorEastAsia" w:hAnsi="Times New Roman" w:cs="Times New Roman"/>
          <w:sz w:val="24"/>
        </w:rPr>
        <w:t>差异有统计学意义（</w:t>
      </w:r>
      <w:r>
        <w:rPr>
          <w:rFonts w:ascii="Times New Roman" w:eastAsiaTheme="majorEastAsia" w:hAnsi="Times New Roman" w:cs="Times New Roman"/>
          <w:i/>
          <w:iCs/>
          <w:sz w:val="24"/>
        </w:rPr>
        <w:t>P</w:t>
      </w:r>
      <w:r>
        <w:rPr>
          <w:rFonts w:ascii="Times New Roman" w:eastAsiaTheme="majorEastAsia" w:hAnsi="Times New Roman" w:cs="Times New Roman"/>
          <w:sz w:val="24"/>
        </w:rPr>
        <w:t>&lt;0.05</w:t>
      </w:r>
      <w:r>
        <w:rPr>
          <w:rFonts w:ascii="Times New Roman" w:eastAsiaTheme="majorEastAsia" w:hAnsi="Times New Roman" w:cs="Times New Roman"/>
          <w:sz w:val="24"/>
        </w:rPr>
        <w:t>）</w:t>
      </w:r>
      <w:r>
        <w:rPr>
          <w:rFonts w:ascii="Times New Roman" w:eastAsiaTheme="majorEastAsia" w:hAnsi="Times New Roman" w:cs="Times New Roman" w:hint="eastAsia"/>
          <w:sz w:val="24"/>
        </w:rPr>
        <w:t>，详</w:t>
      </w:r>
      <w:r>
        <w:rPr>
          <w:rFonts w:ascii="Times New Roman" w:eastAsiaTheme="majorEastAsia" w:hAnsi="Times New Roman" w:cs="Times New Roman"/>
          <w:sz w:val="24"/>
        </w:rPr>
        <w:t>见表</w:t>
      </w:r>
      <w:r>
        <w:rPr>
          <w:rFonts w:ascii="Times New Roman" w:eastAsiaTheme="majorEastAsia" w:hAnsi="Times New Roman" w:cs="Times New Roman"/>
          <w:sz w:val="24"/>
        </w:rPr>
        <w:t>6</w:t>
      </w:r>
      <w:r>
        <w:rPr>
          <w:rFonts w:ascii="Times New Roman" w:eastAsiaTheme="majorEastAsia" w:hAnsi="Times New Roman" w:cs="Times New Roman" w:hint="eastAsia"/>
          <w:sz w:val="24"/>
        </w:rPr>
        <w:t>。</w:t>
      </w:r>
    </w:p>
    <w:p w14:paraId="39A6FEEE" w14:textId="77777777" w:rsidR="0029401A" w:rsidRDefault="00000000">
      <w:pPr>
        <w:widowControl/>
        <w:numPr>
          <w:ilvl w:val="255"/>
          <w:numId w:val="0"/>
        </w:numPr>
        <w:spacing w:line="360" w:lineRule="auto"/>
        <w:jc w:val="center"/>
        <w:rPr>
          <w:rFonts w:ascii="Times New Roman" w:eastAsiaTheme="majorEastAsia" w:hAnsi="Times New Roman" w:cs="Times New Roman"/>
          <w:sz w:val="24"/>
        </w:rPr>
      </w:pPr>
      <w:r>
        <w:rPr>
          <w:rFonts w:ascii="Times New Roman" w:eastAsiaTheme="majorEastAsia" w:hAnsi="Times New Roman" w:cs="Times New Roman"/>
          <w:sz w:val="24"/>
        </w:rPr>
        <w:t>表</w:t>
      </w:r>
      <w:r>
        <w:rPr>
          <w:rFonts w:ascii="Times New Roman" w:eastAsiaTheme="majorEastAsia" w:hAnsi="Times New Roman" w:cs="Times New Roman"/>
          <w:sz w:val="24"/>
        </w:rPr>
        <w:t>6</w:t>
      </w:r>
      <w:r>
        <w:rPr>
          <w:rFonts w:ascii="Times New Roman" w:eastAsiaTheme="majorEastAsia" w:hAnsi="Times New Roman" w:cs="Times New Roman" w:hint="eastAsia"/>
          <w:sz w:val="24"/>
        </w:rPr>
        <w:t xml:space="preserve"> </w:t>
      </w:r>
      <w:r>
        <w:rPr>
          <w:rFonts w:ascii="Times New Roman" w:eastAsiaTheme="majorEastAsia" w:hAnsi="Times New Roman" w:cs="Times New Roman"/>
          <w:sz w:val="24"/>
        </w:rPr>
        <w:t>两组依从性评分对比</w:t>
      </w:r>
    </w:p>
    <w:tbl>
      <w:tblPr>
        <w:tblStyle w:val="a8"/>
        <w:tblW w:w="0" w:type="auto"/>
        <w:tblLook w:val="04A0" w:firstRow="1" w:lastRow="0" w:firstColumn="1" w:lastColumn="0" w:noHBand="0" w:noVBand="1"/>
      </w:tblPr>
      <w:tblGrid>
        <w:gridCol w:w="1051"/>
        <w:gridCol w:w="1052"/>
        <w:gridCol w:w="1240"/>
        <w:gridCol w:w="1240"/>
        <w:gridCol w:w="1241"/>
        <w:gridCol w:w="1241"/>
        <w:gridCol w:w="1241"/>
      </w:tblGrid>
      <w:tr w:rsidR="0029401A" w14:paraId="7409702C" w14:textId="77777777">
        <w:trPr>
          <w:trHeight w:val="652"/>
        </w:trPr>
        <w:tc>
          <w:tcPr>
            <w:tcW w:w="1436" w:type="dxa"/>
            <w:tcBorders>
              <w:top w:val="single" w:sz="18" w:space="0" w:color="auto"/>
              <w:left w:val="nil"/>
              <w:bottom w:val="single" w:sz="4" w:space="0" w:color="000000"/>
              <w:right w:val="nil"/>
              <w:tl2br w:val="nil"/>
            </w:tcBorders>
            <w:shd w:val="clear" w:color="auto" w:fill="FFFFFF"/>
          </w:tcPr>
          <w:p w14:paraId="6B1131A9"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组别</w:t>
            </w:r>
          </w:p>
        </w:tc>
        <w:tc>
          <w:tcPr>
            <w:tcW w:w="1436" w:type="dxa"/>
            <w:tcBorders>
              <w:top w:val="single" w:sz="18" w:space="0" w:color="auto"/>
              <w:left w:val="nil"/>
              <w:bottom w:val="single" w:sz="4" w:space="0" w:color="000000"/>
              <w:right w:val="nil"/>
            </w:tcBorders>
            <w:shd w:val="clear" w:color="auto" w:fill="FFFFFF"/>
          </w:tcPr>
          <w:p w14:paraId="6A7FFB4F"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例数</w:t>
            </w:r>
          </w:p>
        </w:tc>
        <w:tc>
          <w:tcPr>
            <w:tcW w:w="1436" w:type="dxa"/>
            <w:tcBorders>
              <w:top w:val="single" w:sz="18" w:space="0" w:color="auto"/>
              <w:left w:val="nil"/>
              <w:bottom w:val="single" w:sz="4" w:space="0" w:color="000000"/>
              <w:right w:val="nil"/>
            </w:tcBorders>
            <w:shd w:val="clear" w:color="auto" w:fill="FFFFFF"/>
          </w:tcPr>
          <w:p w14:paraId="636FD10E"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情绪管理</w:t>
            </w:r>
          </w:p>
        </w:tc>
        <w:tc>
          <w:tcPr>
            <w:tcW w:w="1436" w:type="dxa"/>
            <w:tcBorders>
              <w:top w:val="single" w:sz="18" w:space="0" w:color="auto"/>
              <w:left w:val="nil"/>
              <w:bottom w:val="single" w:sz="4" w:space="0" w:color="000000"/>
              <w:right w:val="nil"/>
            </w:tcBorders>
            <w:shd w:val="clear" w:color="auto" w:fill="FFFFFF"/>
          </w:tcPr>
          <w:p w14:paraId="0B338641"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饮食控制</w:t>
            </w:r>
          </w:p>
        </w:tc>
        <w:tc>
          <w:tcPr>
            <w:tcW w:w="1437" w:type="dxa"/>
            <w:tcBorders>
              <w:top w:val="single" w:sz="18" w:space="0" w:color="auto"/>
              <w:left w:val="nil"/>
              <w:bottom w:val="single" w:sz="4" w:space="0" w:color="000000"/>
              <w:right w:val="nil"/>
            </w:tcBorders>
            <w:shd w:val="clear" w:color="auto" w:fill="FFFFFF"/>
          </w:tcPr>
          <w:p w14:paraId="197AF8BD"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戒烟戒酒</w:t>
            </w:r>
          </w:p>
        </w:tc>
        <w:tc>
          <w:tcPr>
            <w:tcW w:w="1437" w:type="dxa"/>
            <w:tcBorders>
              <w:top w:val="single" w:sz="18" w:space="0" w:color="auto"/>
              <w:left w:val="nil"/>
              <w:bottom w:val="single" w:sz="4" w:space="0" w:color="000000"/>
              <w:right w:val="nil"/>
            </w:tcBorders>
            <w:shd w:val="clear" w:color="auto" w:fill="FFFFFF"/>
          </w:tcPr>
          <w:p w14:paraId="3FF6E44A"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及时用药</w:t>
            </w:r>
          </w:p>
        </w:tc>
        <w:tc>
          <w:tcPr>
            <w:tcW w:w="1437" w:type="dxa"/>
            <w:tcBorders>
              <w:top w:val="single" w:sz="18" w:space="0" w:color="auto"/>
              <w:left w:val="nil"/>
              <w:bottom w:val="single" w:sz="4" w:space="0" w:color="000000"/>
              <w:right w:val="nil"/>
            </w:tcBorders>
            <w:shd w:val="clear" w:color="auto" w:fill="FFFFFF"/>
          </w:tcPr>
          <w:p w14:paraId="6D852662"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功能锻炼</w:t>
            </w:r>
          </w:p>
        </w:tc>
      </w:tr>
      <w:tr w:rsidR="0029401A" w14:paraId="7ADF2651" w14:textId="77777777">
        <w:trPr>
          <w:trHeight w:val="632"/>
        </w:trPr>
        <w:tc>
          <w:tcPr>
            <w:tcW w:w="1436" w:type="dxa"/>
            <w:tcBorders>
              <w:top w:val="single" w:sz="4" w:space="0" w:color="000000"/>
              <w:left w:val="nil"/>
              <w:bottom w:val="nil"/>
              <w:right w:val="nil"/>
            </w:tcBorders>
            <w:shd w:val="clear" w:color="auto" w:fill="FFFFFF"/>
          </w:tcPr>
          <w:p w14:paraId="2180ADE2"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对照组</w:t>
            </w:r>
          </w:p>
        </w:tc>
        <w:tc>
          <w:tcPr>
            <w:tcW w:w="1436" w:type="dxa"/>
            <w:tcBorders>
              <w:top w:val="single" w:sz="4" w:space="0" w:color="000000"/>
              <w:left w:val="nil"/>
              <w:bottom w:val="nil"/>
              <w:right w:val="nil"/>
            </w:tcBorders>
            <w:shd w:val="clear" w:color="auto" w:fill="FFFFFF"/>
          </w:tcPr>
          <w:p w14:paraId="50F879B8"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50</w:t>
            </w:r>
          </w:p>
        </w:tc>
        <w:tc>
          <w:tcPr>
            <w:tcW w:w="1436" w:type="dxa"/>
            <w:tcBorders>
              <w:top w:val="single" w:sz="4" w:space="0" w:color="000000"/>
              <w:left w:val="nil"/>
              <w:bottom w:val="nil"/>
              <w:right w:val="nil"/>
            </w:tcBorders>
            <w:shd w:val="clear" w:color="auto" w:fill="FFFFFF"/>
          </w:tcPr>
          <w:p w14:paraId="52B4B547"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6.83±2.12</w:t>
            </w:r>
          </w:p>
        </w:tc>
        <w:tc>
          <w:tcPr>
            <w:tcW w:w="1436" w:type="dxa"/>
            <w:tcBorders>
              <w:top w:val="single" w:sz="4" w:space="0" w:color="000000"/>
              <w:left w:val="nil"/>
              <w:bottom w:val="nil"/>
              <w:right w:val="nil"/>
            </w:tcBorders>
            <w:shd w:val="clear" w:color="auto" w:fill="FFFFFF"/>
          </w:tcPr>
          <w:p w14:paraId="750553B7"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5.89±2.17</w:t>
            </w:r>
          </w:p>
        </w:tc>
        <w:tc>
          <w:tcPr>
            <w:tcW w:w="1437" w:type="dxa"/>
            <w:tcBorders>
              <w:top w:val="single" w:sz="4" w:space="0" w:color="000000"/>
              <w:left w:val="nil"/>
              <w:bottom w:val="nil"/>
              <w:right w:val="nil"/>
            </w:tcBorders>
            <w:shd w:val="clear" w:color="auto" w:fill="FFFFFF"/>
          </w:tcPr>
          <w:p w14:paraId="1A3C7F6D"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5.01±3.42</w:t>
            </w:r>
          </w:p>
        </w:tc>
        <w:tc>
          <w:tcPr>
            <w:tcW w:w="1437" w:type="dxa"/>
            <w:tcBorders>
              <w:top w:val="single" w:sz="4" w:space="0" w:color="000000"/>
              <w:left w:val="nil"/>
              <w:bottom w:val="nil"/>
              <w:right w:val="nil"/>
            </w:tcBorders>
            <w:shd w:val="clear" w:color="auto" w:fill="FFFFFF"/>
          </w:tcPr>
          <w:p w14:paraId="0423A70D"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7.53±1.88</w:t>
            </w:r>
          </w:p>
        </w:tc>
        <w:tc>
          <w:tcPr>
            <w:tcW w:w="1437" w:type="dxa"/>
            <w:tcBorders>
              <w:top w:val="single" w:sz="4" w:space="0" w:color="000000"/>
              <w:left w:val="nil"/>
              <w:bottom w:val="nil"/>
              <w:right w:val="nil"/>
            </w:tcBorders>
            <w:shd w:val="clear" w:color="auto" w:fill="FFFFFF"/>
          </w:tcPr>
          <w:p w14:paraId="252194A8"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7.54±1.88</w:t>
            </w:r>
          </w:p>
        </w:tc>
      </w:tr>
      <w:tr w:rsidR="0029401A" w14:paraId="70651EC2" w14:textId="77777777">
        <w:trPr>
          <w:trHeight w:val="622"/>
        </w:trPr>
        <w:tc>
          <w:tcPr>
            <w:tcW w:w="1436" w:type="dxa"/>
            <w:tcBorders>
              <w:top w:val="nil"/>
              <w:left w:val="nil"/>
              <w:bottom w:val="nil"/>
              <w:right w:val="nil"/>
            </w:tcBorders>
            <w:shd w:val="clear" w:color="auto" w:fill="FFFFFF"/>
          </w:tcPr>
          <w:p w14:paraId="672FB3D2"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观察组</w:t>
            </w:r>
          </w:p>
        </w:tc>
        <w:tc>
          <w:tcPr>
            <w:tcW w:w="1436" w:type="dxa"/>
            <w:tcBorders>
              <w:top w:val="nil"/>
              <w:left w:val="nil"/>
              <w:bottom w:val="nil"/>
              <w:right w:val="nil"/>
            </w:tcBorders>
            <w:shd w:val="clear" w:color="auto" w:fill="FFFFFF"/>
          </w:tcPr>
          <w:p w14:paraId="038BFD18"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50</w:t>
            </w:r>
          </w:p>
        </w:tc>
        <w:tc>
          <w:tcPr>
            <w:tcW w:w="1436" w:type="dxa"/>
            <w:tcBorders>
              <w:top w:val="nil"/>
              <w:left w:val="nil"/>
              <w:bottom w:val="nil"/>
              <w:right w:val="nil"/>
            </w:tcBorders>
            <w:shd w:val="clear" w:color="auto" w:fill="FFFFFF"/>
          </w:tcPr>
          <w:p w14:paraId="4FE95976"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8.88±1.52</w:t>
            </w:r>
          </w:p>
        </w:tc>
        <w:tc>
          <w:tcPr>
            <w:tcW w:w="1436" w:type="dxa"/>
            <w:tcBorders>
              <w:top w:val="nil"/>
              <w:left w:val="nil"/>
              <w:bottom w:val="nil"/>
              <w:right w:val="nil"/>
            </w:tcBorders>
            <w:shd w:val="clear" w:color="auto" w:fill="FFFFFF"/>
          </w:tcPr>
          <w:p w14:paraId="02B476B4"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7.04±2.03</w:t>
            </w:r>
          </w:p>
        </w:tc>
        <w:tc>
          <w:tcPr>
            <w:tcW w:w="1437" w:type="dxa"/>
            <w:tcBorders>
              <w:top w:val="nil"/>
              <w:left w:val="nil"/>
              <w:bottom w:val="nil"/>
              <w:right w:val="nil"/>
            </w:tcBorders>
            <w:shd w:val="clear" w:color="auto" w:fill="FFFFFF"/>
          </w:tcPr>
          <w:p w14:paraId="605187E9"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7.89±2.02</w:t>
            </w:r>
          </w:p>
        </w:tc>
        <w:tc>
          <w:tcPr>
            <w:tcW w:w="1437" w:type="dxa"/>
            <w:tcBorders>
              <w:top w:val="nil"/>
              <w:left w:val="nil"/>
              <w:bottom w:val="nil"/>
              <w:right w:val="nil"/>
            </w:tcBorders>
            <w:shd w:val="clear" w:color="auto" w:fill="FFFFFF"/>
          </w:tcPr>
          <w:p w14:paraId="33DAD806"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8.87±0.83</w:t>
            </w:r>
          </w:p>
        </w:tc>
        <w:tc>
          <w:tcPr>
            <w:tcW w:w="1437" w:type="dxa"/>
            <w:tcBorders>
              <w:top w:val="nil"/>
              <w:left w:val="nil"/>
              <w:bottom w:val="nil"/>
              <w:right w:val="nil"/>
            </w:tcBorders>
            <w:shd w:val="clear" w:color="auto" w:fill="FFFFFF"/>
          </w:tcPr>
          <w:p w14:paraId="23DAA39D"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8.89±0.88</w:t>
            </w:r>
          </w:p>
        </w:tc>
      </w:tr>
      <w:tr w:rsidR="0029401A" w14:paraId="73CEA400" w14:textId="77777777">
        <w:trPr>
          <w:trHeight w:val="622"/>
        </w:trPr>
        <w:tc>
          <w:tcPr>
            <w:tcW w:w="1436" w:type="dxa"/>
            <w:tcBorders>
              <w:top w:val="nil"/>
              <w:left w:val="nil"/>
              <w:bottom w:val="nil"/>
              <w:right w:val="nil"/>
            </w:tcBorders>
            <w:shd w:val="clear" w:color="auto" w:fill="FFFFFF"/>
          </w:tcPr>
          <w:p w14:paraId="4133D358"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t值</w:t>
            </w:r>
          </w:p>
        </w:tc>
        <w:tc>
          <w:tcPr>
            <w:tcW w:w="1436" w:type="dxa"/>
            <w:tcBorders>
              <w:top w:val="nil"/>
              <w:left w:val="nil"/>
              <w:bottom w:val="nil"/>
              <w:right w:val="nil"/>
            </w:tcBorders>
            <w:shd w:val="clear" w:color="auto" w:fill="FFFFFF"/>
          </w:tcPr>
          <w:p w14:paraId="2D692BFE" w14:textId="77777777" w:rsidR="0029401A" w:rsidRDefault="0029401A">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p>
        </w:tc>
        <w:tc>
          <w:tcPr>
            <w:tcW w:w="1436" w:type="dxa"/>
            <w:tcBorders>
              <w:top w:val="nil"/>
              <w:left w:val="nil"/>
              <w:bottom w:val="nil"/>
              <w:right w:val="nil"/>
            </w:tcBorders>
            <w:shd w:val="clear" w:color="auto" w:fill="FFFFFF"/>
          </w:tcPr>
          <w:p w14:paraId="76E527ED"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2.903</w:t>
            </w:r>
          </w:p>
        </w:tc>
        <w:tc>
          <w:tcPr>
            <w:tcW w:w="1436" w:type="dxa"/>
            <w:tcBorders>
              <w:top w:val="nil"/>
              <w:left w:val="nil"/>
              <w:bottom w:val="nil"/>
              <w:right w:val="nil"/>
            </w:tcBorders>
            <w:shd w:val="clear" w:color="auto" w:fill="FFFFFF"/>
          </w:tcPr>
          <w:p w14:paraId="0FAB385D"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3.243</w:t>
            </w:r>
          </w:p>
        </w:tc>
        <w:tc>
          <w:tcPr>
            <w:tcW w:w="1437" w:type="dxa"/>
            <w:tcBorders>
              <w:top w:val="nil"/>
              <w:left w:val="nil"/>
              <w:bottom w:val="nil"/>
              <w:right w:val="nil"/>
            </w:tcBorders>
            <w:shd w:val="clear" w:color="auto" w:fill="FFFFFF"/>
          </w:tcPr>
          <w:p w14:paraId="27ECC9EA"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4.824</w:t>
            </w:r>
          </w:p>
        </w:tc>
        <w:tc>
          <w:tcPr>
            <w:tcW w:w="1437" w:type="dxa"/>
            <w:tcBorders>
              <w:top w:val="nil"/>
              <w:left w:val="nil"/>
              <w:bottom w:val="nil"/>
              <w:right w:val="nil"/>
            </w:tcBorders>
            <w:shd w:val="clear" w:color="auto" w:fill="FFFFFF"/>
          </w:tcPr>
          <w:p w14:paraId="2C7C0A98"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4.023</w:t>
            </w:r>
          </w:p>
        </w:tc>
        <w:tc>
          <w:tcPr>
            <w:tcW w:w="1437" w:type="dxa"/>
            <w:tcBorders>
              <w:top w:val="nil"/>
              <w:left w:val="nil"/>
              <w:bottom w:val="nil"/>
              <w:right w:val="nil"/>
            </w:tcBorders>
            <w:shd w:val="clear" w:color="auto" w:fill="FFFFFF"/>
          </w:tcPr>
          <w:p w14:paraId="781057B6"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3.760</w:t>
            </w:r>
          </w:p>
        </w:tc>
      </w:tr>
      <w:tr w:rsidR="0029401A" w14:paraId="543787E7" w14:textId="77777777">
        <w:trPr>
          <w:trHeight w:val="652"/>
        </w:trPr>
        <w:tc>
          <w:tcPr>
            <w:tcW w:w="1436" w:type="dxa"/>
            <w:tcBorders>
              <w:top w:val="nil"/>
              <w:left w:val="nil"/>
              <w:bottom w:val="single" w:sz="18" w:space="0" w:color="auto"/>
              <w:right w:val="nil"/>
            </w:tcBorders>
            <w:shd w:val="clear" w:color="auto" w:fill="FFFFFF"/>
          </w:tcPr>
          <w:p w14:paraId="60A5C07B"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p值</w:t>
            </w:r>
          </w:p>
        </w:tc>
        <w:tc>
          <w:tcPr>
            <w:tcW w:w="1436" w:type="dxa"/>
            <w:tcBorders>
              <w:top w:val="nil"/>
              <w:left w:val="nil"/>
              <w:bottom w:val="single" w:sz="18" w:space="0" w:color="auto"/>
              <w:right w:val="nil"/>
            </w:tcBorders>
            <w:shd w:val="clear" w:color="auto" w:fill="FFFFFF"/>
          </w:tcPr>
          <w:p w14:paraId="26617AE1" w14:textId="77777777" w:rsidR="0029401A" w:rsidRDefault="0029401A">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p>
        </w:tc>
        <w:tc>
          <w:tcPr>
            <w:tcW w:w="1436" w:type="dxa"/>
            <w:tcBorders>
              <w:top w:val="nil"/>
              <w:left w:val="nil"/>
              <w:bottom w:val="single" w:sz="18" w:space="0" w:color="auto"/>
              <w:right w:val="nil"/>
            </w:tcBorders>
            <w:shd w:val="clear" w:color="auto" w:fill="FFFFFF"/>
          </w:tcPr>
          <w:p w14:paraId="66917D81"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&lt;0.001</w:t>
            </w:r>
          </w:p>
        </w:tc>
        <w:tc>
          <w:tcPr>
            <w:tcW w:w="1436" w:type="dxa"/>
            <w:tcBorders>
              <w:top w:val="nil"/>
              <w:left w:val="nil"/>
              <w:bottom w:val="single" w:sz="18" w:space="0" w:color="auto"/>
              <w:right w:val="nil"/>
            </w:tcBorders>
            <w:shd w:val="clear" w:color="auto" w:fill="FFFFFF"/>
          </w:tcPr>
          <w:p w14:paraId="43165CE1"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0.0136</w:t>
            </w:r>
          </w:p>
        </w:tc>
        <w:tc>
          <w:tcPr>
            <w:tcW w:w="1437" w:type="dxa"/>
            <w:tcBorders>
              <w:top w:val="nil"/>
              <w:left w:val="nil"/>
              <w:bottom w:val="single" w:sz="18" w:space="0" w:color="auto"/>
              <w:right w:val="nil"/>
            </w:tcBorders>
            <w:shd w:val="clear" w:color="auto" w:fill="FFFFFF"/>
          </w:tcPr>
          <w:p w14:paraId="79F2DC0E"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&lt;0.001</w:t>
            </w:r>
          </w:p>
        </w:tc>
        <w:tc>
          <w:tcPr>
            <w:tcW w:w="1437" w:type="dxa"/>
            <w:tcBorders>
              <w:top w:val="nil"/>
              <w:left w:val="nil"/>
              <w:bottom w:val="single" w:sz="18" w:space="0" w:color="auto"/>
              <w:right w:val="nil"/>
            </w:tcBorders>
            <w:shd w:val="clear" w:color="auto" w:fill="FFFFFF"/>
          </w:tcPr>
          <w:p w14:paraId="14A0CE6E"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0.0463</w:t>
            </w:r>
          </w:p>
        </w:tc>
        <w:tc>
          <w:tcPr>
            <w:tcW w:w="1437" w:type="dxa"/>
            <w:tcBorders>
              <w:top w:val="nil"/>
              <w:left w:val="nil"/>
              <w:bottom w:val="single" w:sz="18" w:space="0" w:color="auto"/>
              <w:right w:val="nil"/>
            </w:tcBorders>
            <w:shd w:val="clear" w:color="auto" w:fill="FFFFFF"/>
          </w:tcPr>
          <w:p w14:paraId="0608B9A2" w14:textId="77777777" w:rsidR="0029401A" w:rsidRDefault="00000000">
            <w:pPr>
              <w:widowControl/>
              <w:numPr>
                <w:ilvl w:val="255"/>
                <w:numId w:val="0"/>
              </w:numPr>
              <w:spacing w:line="360" w:lineRule="auto"/>
              <w:jc w:val="left"/>
              <w:rPr>
                <w:rFonts w:asciiTheme="majorEastAsia" w:eastAsiaTheme="majorEastAsia" w:hAnsiTheme="majorEastAsia" w:cstheme="majorEastAsia" w:hint="eastAsia"/>
                <w:color w:val="000000"/>
                <w:kern w:val="20"/>
                <w:sz w:val="24"/>
              </w:rPr>
            </w:pPr>
            <w:r>
              <w:rPr>
                <w:rFonts w:asciiTheme="majorEastAsia" w:eastAsiaTheme="majorEastAsia" w:hAnsiTheme="majorEastAsia" w:cstheme="majorEastAsia" w:hint="eastAsia"/>
                <w:color w:val="000000"/>
                <w:kern w:val="20"/>
                <w:sz w:val="24"/>
              </w:rPr>
              <w:t>&lt;0.001</w:t>
            </w:r>
          </w:p>
        </w:tc>
      </w:tr>
    </w:tbl>
    <w:p w14:paraId="5C690AB1" w14:textId="42A9CB7E" w:rsidR="0029401A" w:rsidRDefault="00000000">
      <w:pPr>
        <w:pStyle w:val="1"/>
        <w:spacing w:line="360" w:lineRule="auto"/>
        <w:rPr>
          <w:rFonts w:asciiTheme="majorEastAsia" w:eastAsiaTheme="majorEastAsia" w:hAnsiTheme="majorEastAsia" w:cstheme="majorEastAsia"/>
          <w:sz w:val="24"/>
          <w:szCs w:val="24"/>
        </w:rPr>
      </w:pPr>
      <w:r>
        <w:rPr>
          <w:rFonts w:asciiTheme="majorEastAsia" w:eastAsiaTheme="majorEastAsia" w:hAnsiTheme="majorEastAsia" w:cstheme="majorEastAsia"/>
          <w:sz w:val="24"/>
          <w:szCs w:val="24"/>
        </w:rPr>
        <w:t>3</w:t>
      </w:r>
      <w:r w:rsidR="002713BB">
        <w:rPr>
          <w:rFonts w:asciiTheme="majorEastAsia" w:eastAsiaTheme="majorEastAsia" w:hAnsiTheme="majorEastAsia" w:cstheme="majorEastAsia"/>
          <w:sz w:val="24"/>
          <w:szCs w:val="24"/>
        </w:rPr>
        <w:t xml:space="preserve"> </w:t>
      </w:r>
      <w:r>
        <w:rPr>
          <w:rFonts w:asciiTheme="majorEastAsia" w:eastAsiaTheme="majorEastAsia" w:hAnsiTheme="majorEastAsia" w:cstheme="majorEastAsia"/>
          <w:sz w:val="24"/>
          <w:szCs w:val="24"/>
        </w:rPr>
        <w:t>讨论</w:t>
      </w:r>
    </w:p>
    <w:p w14:paraId="374B025E" w14:textId="77777777" w:rsidR="0029401A" w:rsidRDefault="00000000">
      <w:pPr>
        <w:spacing w:line="360" w:lineRule="auto"/>
        <w:rPr>
          <w:rFonts w:ascii="Times New Roman" w:eastAsia="宋体" w:hAnsi="Times New Roman" w:cs="Times New Roman"/>
          <w:b/>
          <w:bCs/>
          <w:sz w:val="24"/>
        </w:rPr>
      </w:pPr>
      <w:r>
        <w:rPr>
          <w:rFonts w:ascii="Times New Roman" w:eastAsia="宋体" w:hAnsi="Times New Roman" w:cs="Times New Roman"/>
          <w:b/>
          <w:bCs/>
          <w:sz w:val="24"/>
        </w:rPr>
        <w:t xml:space="preserve">3.1 </w:t>
      </w:r>
      <w:r>
        <w:rPr>
          <w:rFonts w:ascii="Times New Roman" w:eastAsia="宋体" w:hAnsi="Times New Roman" w:cs="Times New Roman"/>
          <w:b/>
          <w:bCs/>
          <w:sz w:val="24"/>
        </w:rPr>
        <w:t>基于时效性激励理论的护理干预可有效改善</w:t>
      </w:r>
      <w:r>
        <w:rPr>
          <w:rFonts w:ascii="Times New Roman" w:eastAsia="宋体" w:hAnsi="Times New Roman" w:cs="Times New Roman"/>
          <w:b/>
          <w:bCs/>
          <w:sz w:val="24"/>
        </w:rPr>
        <w:t>Rezum</w:t>
      </w:r>
      <w:r>
        <w:rPr>
          <w:rFonts w:ascii="Times New Roman" w:eastAsia="宋体" w:hAnsi="Times New Roman" w:cs="Times New Roman"/>
          <w:b/>
          <w:bCs/>
          <w:sz w:val="24"/>
        </w:rPr>
        <w:t>术后</w:t>
      </w:r>
      <w:r>
        <w:rPr>
          <w:rFonts w:ascii="Times New Roman" w:eastAsia="宋体" w:hAnsi="Times New Roman" w:cs="Times New Roman" w:hint="eastAsia"/>
          <w:b/>
          <w:bCs/>
          <w:sz w:val="24"/>
        </w:rPr>
        <w:t>患者</w:t>
      </w:r>
      <w:r>
        <w:rPr>
          <w:rFonts w:ascii="Times New Roman" w:eastAsia="宋体" w:hAnsi="Times New Roman" w:cs="Times New Roman"/>
          <w:b/>
          <w:bCs/>
          <w:sz w:val="24"/>
        </w:rPr>
        <w:t>前列腺症状和控尿能力</w:t>
      </w:r>
    </w:p>
    <w:p w14:paraId="4A7A2E89" w14:textId="77777777" w:rsidR="0029401A"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本研究结果显示，观察组术后</w:t>
      </w:r>
      <w:r>
        <w:rPr>
          <w:rFonts w:ascii="Times New Roman" w:eastAsia="宋体" w:hAnsi="Times New Roman" w:cs="Times New Roman"/>
          <w:sz w:val="24"/>
        </w:rPr>
        <w:t>IPSS</w:t>
      </w:r>
      <w:r>
        <w:rPr>
          <w:rFonts w:ascii="Times New Roman" w:eastAsia="宋体" w:hAnsi="Times New Roman" w:cs="Times New Roman"/>
          <w:sz w:val="24"/>
        </w:rPr>
        <w:t>评分低于对照组，同时观察组术后控尿能力高于对照组（</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0.01</w:t>
      </w:r>
      <w:r>
        <w:rPr>
          <w:rFonts w:ascii="Times New Roman" w:eastAsia="宋体" w:hAnsi="Times New Roman" w:cs="Times New Roman"/>
          <w:sz w:val="24"/>
        </w:rPr>
        <w:t>），提示本研究对改善</w:t>
      </w:r>
      <w:r>
        <w:rPr>
          <w:rFonts w:ascii="Times New Roman" w:eastAsia="宋体" w:hAnsi="Times New Roman" w:cs="Times New Roman"/>
          <w:sz w:val="24"/>
        </w:rPr>
        <w:t>Rezum</w:t>
      </w:r>
      <w:r>
        <w:rPr>
          <w:rFonts w:ascii="Times New Roman" w:eastAsia="宋体" w:hAnsi="Times New Roman" w:cs="Times New Roman"/>
          <w:sz w:val="24"/>
        </w:rPr>
        <w:t>术后前列腺症状和提高控尿能力具有较好的临床意义。</w:t>
      </w:r>
      <w:r>
        <w:rPr>
          <w:rFonts w:ascii="Times New Roman" w:eastAsia="宋体" w:hAnsi="Times New Roman" w:cs="Times New Roman"/>
          <w:sz w:val="24"/>
        </w:rPr>
        <w:t>Okedere</w:t>
      </w:r>
      <w:r>
        <w:rPr>
          <w:rFonts w:ascii="Times New Roman" w:eastAsia="宋体" w:hAnsi="Times New Roman" w:cs="Times New Roman"/>
          <w:sz w:val="24"/>
        </w:rPr>
        <w:t>等</w:t>
      </w:r>
      <w:r>
        <w:rPr>
          <w:rFonts w:ascii="Times New Roman" w:hAnsi="Times New Roman" w:cs="Times New Roman"/>
          <w:color w:val="333333"/>
          <w:szCs w:val="21"/>
          <w:shd w:val="clear" w:color="auto" w:fill="FFFFFF"/>
          <w:vertAlign w:val="superscript"/>
        </w:rPr>
        <w:t>[15]</w:t>
      </w:r>
      <w:r>
        <w:rPr>
          <w:rFonts w:ascii="Times New Roman" w:eastAsia="宋体" w:hAnsi="Times New Roman" w:cs="Times New Roman"/>
          <w:sz w:val="24"/>
        </w:rPr>
        <w:t>研究发现，</w:t>
      </w:r>
      <w:r>
        <w:rPr>
          <w:rFonts w:ascii="Times New Roman" w:eastAsia="宋体" w:hAnsi="Times New Roman" w:cs="Times New Roman"/>
          <w:sz w:val="24"/>
        </w:rPr>
        <w:t>IPSS</w:t>
      </w:r>
      <w:r>
        <w:rPr>
          <w:rFonts w:ascii="Times New Roman" w:eastAsia="宋体" w:hAnsi="Times New Roman" w:cs="Times New Roman"/>
          <w:sz w:val="24"/>
        </w:rPr>
        <w:t>是判断</w:t>
      </w:r>
      <w:r>
        <w:rPr>
          <w:rFonts w:ascii="Times New Roman" w:eastAsia="宋体" w:hAnsi="Times New Roman" w:cs="Times New Roman"/>
          <w:sz w:val="24"/>
        </w:rPr>
        <w:t>BPH</w:t>
      </w:r>
      <w:r>
        <w:rPr>
          <w:rFonts w:ascii="Times New Roman" w:eastAsia="宋体" w:hAnsi="Times New Roman" w:cs="Times New Roman"/>
          <w:sz w:val="24"/>
        </w:rPr>
        <w:t>患者下尿路症状严重程度的</w:t>
      </w:r>
      <w:r>
        <w:rPr>
          <w:rFonts w:ascii="Times New Roman" w:eastAsia="宋体" w:hAnsi="Times New Roman" w:cs="Times New Roman" w:hint="eastAsia"/>
          <w:sz w:val="24"/>
        </w:rPr>
        <w:t>核心</w:t>
      </w:r>
      <w:r>
        <w:rPr>
          <w:rFonts w:ascii="Times New Roman" w:eastAsia="宋体" w:hAnsi="Times New Roman" w:cs="Times New Roman"/>
          <w:sz w:val="24"/>
        </w:rPr>
        <w:t>评价指标</w:t>
      </w:r>
      <w:r>
        <w:rPr>
          <w:rFonts w:ascii="Times New Roman" w:eastAsia="宋体" w:hAnsi="Times New Roman" w:cs="Times New Roman" w:hint="eastAsia"/>
          <w:sz w:val="24"/>
        </w:rPr>
        <w:t>，</w:t>
      </w:r>
      <w:r>
        <w:rPr>
          <w:rFonts w:ascii="Times New Roman" w:eastAsia="宋体" w:hAnsi="Times New Roman" w:cs="Times New Roman"/>
          <w:sz w:val="24"/>
        </w:rPr>
        <w:t>Rezum</w:t>
      </w:r>
      <w:r>
        <w:rPr>
          <w:rFonts w:ascii="Times New Roman" w:eastAsia="宋体" w:hAnsi="Times New Roman" w:cs="Times New Roman"/>
          <w:sz w:val="24"/>
        </w:rPr>
        <w:t>术后，前列腺增生组织逐渐萎缩，尿道梗阻缓解</w:t>
      </w:r>
      <w:r>
        <w:rPr>
          <w:rFonts w:ascii="Times New Roman" w:hAnsi="Times New Roman" w:cs="Times New Roman"/>
          <w:color w:val="333333"/>
          <w:szCs w:val="21"/>
          <w:shd w:val="clear" w:color="auto" w:fill="FFFFFF"/>
          <w:vertAlign w:val="superscript"/>
        </w:rPr>
        <w:t>[1</w:t>
      </w:r>
      <w:r>
        <w:rPr>
          <w:rFonts w:ascii="Times New Roman" w:hAnsi="Times New Roman" w:cs="Times New Roman" w:hint="eastAsia"/>
          <w:color w:val="333333"/>
          <w:szCs w:val="21"/>
          <w:shd w:val="clear" w:color="auto" w:fill="FFFFFF"/>
          <w:vertAlign w:val="superscript"/>
        </w:rPr>
        <w:t>6</w:t>
      </w:r>
      <w:r>
        <w:rPr>
          <w:rFonts w:ascii="Times New Roman" w:hAnsi="Times New Roman" w:cs="Times New Roman"/>
          <w:color w:val="333333"/>
          <w:szCs w:val="21"/>
          <w:shd w:val="clear" w:color="auto" w:fill="FFFFFF"/>
          <w:vertAlign w:val="superscript"/>
        </w:rPr>
        <w:t>]</w:t>
      </w:r>
      <w:r>
        <w:rPr>
          <w:rFonts w:ascii="Times New Roman" w:eastAsia="宋体" w:hAnsi="Times New Roman" w:cs="Times New Roman"/>
          <w:sz w:val="24"/>
        </w:rPr>
        <w:t>。时效性激励护理干预通过术后早期干预如导尿管间歇夹闭训练可减少导尿管拔除后尿潴留的风险，从而改善排尿困难、尿不尽等前列腺症状。</w:t>
      </w:r>
      <w:r>
        <w:rPr>
          <w:rFonts w:ascii="Times New Roman" w:eastAsia="宋体" w:hAnsi="Times New Roman" w:cs="Times New Roman" w:hint="eastAsia"/>
          <w:sz w:val="24"/>
        </w:rPr>
        <w:t>同时时效性激励理论的护理干预在术后早期激励患者行盆底肌训练，也可以起到减少术后尿失禁的积极作用</w:t>
      </w:r>
      <w:r>
        <w:rPr>
          <w:rFonts w:ascii="Times New Roman" w:hAnsi="Times New Roman" w:cs="Times New Roman"/>
          <w:color w:val="333333"/>
          <w:szCs w:val="21"/>
          <w:shd w:val="clear" w:color="auto" w:fill="FFFFFF"/>
          <w:vertAlign w:val="superscript"/>
        </w:rPr>
        <w:t>[1</w:t>
      </w:r>
      <w:r>
        <w:rPr>
          <w:rFonts w:ascii="Times New Roman" w:hAnsi="Times New Roman" w:cs="Times New Roman" w:hint="eastAsia"/>
          <w:color w:val="333333"/>
          <w:szCs w:val="21"/>
          <w:shd w:val="clear" w:color="auto" w:fill="FFFFFF"/>
          <w:vertAlign w:val="superscript"/>
        </w:rPr>
        <w:t>7</w:t>
      </w:r>
      <w:r>
        <w:rPr>
          <w:rFonts w:ascii="Times New Roman" w:hAnsi="Times New Roman" w:cs="Times New Roman"/>
          <w:color w:val="333333"/>
          <w:szCs w:val="21"/>
          <w:shd w:val="clear" w:color="auto" w:fill="FFFFFF"/>
          <w:vertAlign w:val="superscript"/>
        </w:rPr>
        <w:t>]</w:t>
      </w:r>
      <w:r>
        <w:rPr>
          <w:rFonts w:ascii="Times New Roman" w:eastAsia="宋体" w:hAnsi="Times New Roman" w:cs="Times New Roman" w:hint="eastAsia"/>
          <w:sz w:val="24"/>
        </w:rPr>
        <w:t>。</w:t>
      </w:r>
    </w:p>
    <w:p w14:paraId="3EBC558E" w14:textId="77777777" w:rsidR="0029401A" w:rsidRDefault="00000000">
      <w:pPr>
        <w:spacing w:line="360" w:lineRule="auto"/>
        <w:rPr>
          <w:rFonts w:ascii="Times New Roman" w:eastAsia="宋体" w:hAnsi="Times New Roman" w:cs="Times New Roman"/>
          <w:b/>
          <w:bCs/>
          <w:sz w:val="24"/>
        </w:rPr>
      </w:pPr>
      <w:r>
        <w:rPr>
          <w:rFonts w:ascii="Times New Roman" w:eastAsia="宋体" w:hAnsi="Times New Roman" w:cs="Times New Roman"/>
          <w:b/>
          <w:bCs/>
          <w:sz w:val="24"/>
        </w:rPr>
        <w:lastRenderedPageBreak/>
        <w:t>3.</w:t>
      </w:r>
      <w:r>
        <w:rPr>
          <w:rFonts w:ascii="Times New Roman" w:eastAsia="宋体" w:hAnsi="Times New Roman" w:cs="Times New Roman" w:hint="eastAsia"/>
          <w:b/>
          <w:bCs/>
          <w:sz w:val="24"/>
        </w:rPr>
        <w:t>2</w:t>
      </w:r>
      <w:r>
        <w:rPr>
          <w:rFonts w:ascii="Times New Roman" w:eastAsia="宋体" w:hAnsi="Times New Roman" w:cs="Times New Roman"/>
          <w:b/>
          <w:bCs/>
          <w:sz w:val="24"/>
        </w:rPr>
        <w:t xml:space="preserve"> </w:t>
      </w:r>
      <w:r>
        <w:rPr>
          <w:rFonts w:ascii="Times New Roman" w:eastAsia="宋体" w:hAnsi="Times New Roman" w:cs="Times New Roman"/>
          <w:b/>
          <w:bCs/>
          <w:sz w:val="24"/>
        </w:rPr>
        <w:t>基于时效性激励理论的护理干预可</w:t>
      </w:r>
      <w:r>
        <w:rPr>
          <w:rFonts w:ascii="Times New Roman" w:eastAsia="宋体" w:hAnsi="Times New Roman" w:cs="Times New Roman" w:hint="eastAsia"/>
          <w:b/>
          <w:bCs/>
          <w:sz w:val="24"/>
        </w:rPr>
        <w:t>有效缓解</w:t>
      </w:r>
      <w:r>
        <w:rPr>
          <w:rFonts w:ascii="Times New Roman" w:eastAsia="宋体" w:hAnsi="Times New Roman" w:cs="Times New Roman"/>
          <w:b/>
          <w:bCs/>
          <w:sz w:val="24"/>
        </w:rPr>
        <w:t>Rezum</w:t>
      </w:r>
      <w:r>
        <w:rPr>
          <w:rFonts w:ascii="Times New Roman" w:eastAsia="宋体" w:hAnsi="Times New Roman" w:cs="Times New Roman"/>
          <w:b/>
          <w:bCs/>
          <w:sz w:val="24"/>
        </w:rPr>
        <w:t>术后</w:t>
      </w:r>
      <w:r>
        <w:rPr>
          <w:rFonts w:ascii="Times New Roman" w:eastAsia="宋体" w:hAnsi="Times New Roman" w:cs="Times New Roman" w:hint="eastAsia"/>
          <w:b/>
          <w:bCs/>
          <w:sz w:val="24"/>
        </w:rPr>
        <w:t>疼痛和负性心态</w:t>
      </w:r>
    </w:p>
    <w:p w14:paraId="6E6EA2F4" w14:textId="77777777" w:rsidR="0029401A"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本研究结果显示，观察组术后</w:t>
      </w:r>
      <w:r>
        <w:rPr>
          <w:rFonts w:ascii="Times New Roman" w:eastAsia="宋体" w:hAnsi="Times New Roman" w:cs="Times New Roman" w:hint="eastAsia"/>
          <w:sz w:val="24"/>
        </w:rPr>
        <w:t>VAS</w:t>
      </w:r>
      <w:r>
        <w:rPr>
          <w:rFonts w:ascii="Times New Roman" w:eastAsia="宋体" w:hAnsi="Times New Roman" w:cs="Times New Roman"/>
          <w:sz w:val="24"/>
        </w:rPr>
        <w:t>评分低于对照组，同时观察组术后</w:t>
      </w:r>
      <w:r>
        <w:rPr>
          <w:rFonts w:ascii="Times New Roman" w:eastAsia="宋体" w:hAnsi="Times New Roman" w:cs="Times New Roman" w:hint="eastAsia"/>
          <w:sz w:val="24"/>
        </w:rPr>
        <w:t>SAS</w:t>
      </w:r>
      <w:r>
        <w:rPr>
          <w:rFonts w:ascii="Times New Roman" w:eastAsia="宋体" w:hAnsi="Times New Roman" w:cs="Times New Roman" w:hint="eastAsia"/>
          <w:sz w:val="24"/>
        </w:rPr>
        <w:t>、</w:t>
      </w:r>
      <w:r>
        <w:rPr>
          <w:rFonts w:ascii="Times New Roman" w:eastAsia="宋体" w:hAnsi="Times New Roman" w:cs="Times New Roman" w:hint="eastAsia"/>
          <w:sz w:val="24"/>
        </w:rPr>
        <w:t>SDS</w:t>
      </w:r>
      <w:r>
        <w:rPr>
          <w:rFonts w:ascii="Times New Roman" w:eastAsia="宋体" w:hAnsi="Times New Roman" w:cs="Times New Roman" w:hint="eastAsia"/>
          <w:sz w:val="24"/>
        </w:rPr>
        <w:t>评分均低于</w:t>
      </w:r>
      <w:r>
        <w:rPr>
          <w:rFonts w:ascii="Times New Roman" w:eastAsia="宋体" w:hAnsi="Times New Roman" w:cs="Times New Roman"/>
          <w:sz w:val="24"/>
        </w:rPr>
        <w:t>对照组（</w:t>
      </w:r>
      <w:r>
        <w:rPr>
          <w:rFonts w:ascii="Times New Roman" w:eastAsia="宋体" w:hAnsi="Times New Roman" w:cs="Times New Roman"/>
          <w:i/>
          <w:iCs/>
          <w:sz w:val="24"/>
        </w:rPr>
        <w:t>P</w:t>
      </w:r>
      <w:r>
        <w:rPr>
          <w:rFonts w:ascii="Times New Roman" w:eastAsia="宋体" w:hAnsi="Times New Roman" w:cs="Times New Roman"/>
          <w:sz w:val="24"/>
        </w:rPr>
        <w:t>＜</w:t>
      </w:r>
      <w:r>
        <w:rPr>
          <w:rFonts w:ascii="Times New Roman" w:eastAsia="宋体" w:hAnsi="Times New Roman" w:cs="Times New Roman"/>
          <w:sz w:val="24"/>
        </w:rPr>
        <w:t>0.0</w:t>
      </w:r>
      <w:r>
        <w:rPr>
          <w:rFonts w:ascii="Times New Roman" w:eastAsia="宋体" w:hAnsi="Times New Roman" w:cs="Times New Roman" w:hint="eastAsia"/>
          <w:sz w:val="24"/>
        </w:rPr>
        <w:t>5</w:t>
      </w:r>
      <w:r>
        <w:rPr>
          <w:rFonts w:ascii="Times New Roman" w:eastAsia="宋体" w:hAnsi="Times New Roman" w:cs="Times New Roman"/>
          <w:sz w:val="24"/>
        </w:rPr>
        <w:t>），提示本研究对</w:t>
      </w:r>
      <w:r>
        <w:rPr>
          <w:rFonts w:ascii="Times New Roman" w:eastAsia="宋体" w:hAnsi="Times New Roman" w:cs="Times New Roman" w:hint="eastAsia"/>
          <w:sz w:val="24"/>
        </w:rPr>
        <w:t>改善</w:t>
      </w:r>
      <w:r>
        <w:rPr>
          <w:rFonts w:ascii="Times New Roman" w:eastAsia="宋体" w:hAnsi="Times New Roman" w:cs="Times New Roman"/>
          <w:sz w:val="24"/>
        </w:rPr>
        <w:t>Rezum</w:t>
      </w:r>
      <w:r>
        <w:rPr>
          <w:rFonts w:ascii="Times New Roman" w:eastAsia="宋体" w:hAnsi="Times New Roman" w:cs="Times New Roman"/>
          <w:sz w:val="24"/>
        </w:rPr>
        <w:t>术后</w:t>
      </w:r>
      <w:r>
        <w:rPr>
          <w:rFonts w:ascii="Times New Roman" w:eastAsia="宋体" w:hAnsi="Times New Roman" w:cs="Times New Roman" w:hint="eastAsia"/>
          <w:sz w:val="24"/>
        </w:rPr>
        <w:t>患者负性心态和缓解术后疼痛程度</w:t>
      </w:r>
      <w:r>
        <w:rPr>
          <w:rFonts w:ascii="Times New Roman" w:eastAsia="宋体" w:hAnsi="Times New Roman" w:cs="Times New Roman"/>
          <w:sz w:val="24"/>
        </w:rPr>
        <w:t>具有较好的临床意义。</w:t>
      </w:r>
      <w:r>
        <w:rPr>
          <w:rFonts w:ascii="Segoe UI" w:eastAsia="Segoe UI" w:hAnsi="Segoe UI" w:cs="Segoe UI"/>
          <w:sz w:val="24"/>
          <w:shd w:val="clear" w:color="auto" w:fill="FFFFFF"/>
        </w:rPr>
        <w:t>时效性激励理论强调在关键的时机给予患者恰当的激励，以激发其内在的积极性和主动性</w:t>
      </w:r>
      <w:r>
        <w:rPr>
          <w:rFonts w:ascii="Times New Roman" w:hAnsi="Times New Roman" w:cs="Times New Roman"/>
          <w:color w:val="333333"/>
          <w:szCs w:val="21"/>
          <w:shd w:val="clear" w:color="auto" w:fill="FFFFFF"/>
          <w:vertAlign w:val="superscript"/>
        </w:rPr>
        <w:t>[1</w:t>
      </w:r>
      <w:r>
        <w:rPr>
          <w:rFonts w:ascii="Times New Roman" w:hAnsi="Times New Roman" w:cs="Times New Roman" w:hint="eastAsia"/>
          <w:color w:val="333333"/>
          <w:szCs w:val="21"/>
          <w:shd w:val="clear" w:color="auto" w:fill="FFFFFF"/>
          <w:vertAlign w:val="superscript"/>
        </w:rPr>
        <w:t>8</w:t>
      </w:r>
      <w:r>
        <w:rPr>
          <w:rFonts w:ascii="Times New Roman" w:hAnsi="Times New Roman" w:cs="Times New Roman"/>
          <w:color w:val="333333"/>
          <w:szCs w:val="21"/>
          <w:shd w:val="clear" w:color="auto" w:fill="FFFFFF"/>
          <w:vertAlign w:val="superscript"/>
        </w:rPr>
        <w:t>]</w:t>
      </w:r>
      <w:r>
        <w:rPr>
          <w:rFonts w:ascii="Segoe UI" w:eastAsia="Segoe UI" w:hAnsi="Segoe UI" w:cs="Segoe UI"/>
          <w:sz w:val="24"/>
          <w:shd w:val="clear" w:color="auto" w:fill="FFFFFF"/>
        </w:rPr>
        <w:t>。</w:t>
      </w:r>
      <w:r>
        <w:rPr>
          <w:rFonts w:ascii="Segoe UI" w:eastAsia="宋体" w:hAnsi="Segoe UI" w:cs="Segoe UI" w:hint="eastAsia"/>
          <w:sz w:val="24"/>
          <w:shd w:val="clear" w:color="auto" w:fill="FFFFFF"/>
        </w:rPr>
        <w:t>邹霜等</w:t>
      </w:r>
      <w:r>
        <w:rPr>
          <w:rFonts w:ascii="Times New Roman" w:hAnsi="Times New Roman" w:cs="Times New Roman"/>
          <w:color w:val="333333"/>
          <w:szCs w:val="21"/>
          <w:shd w:val="clear" w:color="auto" w:fill="FFFFFF"/>
          <w:vertAlign w:val="superscript"/>
        </w:rPr>
        <w:t>[1</w:t>
      </w:r>
      <w:r>
        <w:rPr>
          <w:rFonts w:ascii="Times New Roman" w:hAnsi="Times New Roman" w:cs="Times New Roman" w:hint="eastAsia"/>
          <w:color w:val="333333"/>
          <w:szCs w:val="21"/>
          <w:shd w:val="clear" w:color="auto" w:fill="FFFFFF"/>
          <w:vertAlign w:val="superscript"/>
        </w:rPr>
        <w:t>9</w:t>
      </w:r>
      <w:r>
        <w:rPr>
          <w:rFonts w:ascii="Times New Roman" w:hAnsi="Times New Roman" w:cs="Times New Roman"/>
          <w:color w:val="333333"/>
          <w:szCs w:val="21"/>
          <w:shd w:val="clear" w:color="auto" w:fill="FFFFFF"/>
          <w:vertAlign w:val="superscript"/>
        </w:rPr>
        <w:t>]</w:t>
      </w:r>
      <w:r>
        <w:rPr>
          <w:rFonts w:ascii="Segoe UI" w:eastAsia="宋体" w:hAnsi="Segoe UI" w:cs="Segoe UI" w:hint="eastAsia"/>
          <w:sz w:val="24"/>
          <w:shd w:val="clear" w:color="auto" w:fill="FFFFFF"/>
        </w:rPr>
        <w:t>将时效性激励理论用于维持性血液透析患者的健康教育中，结果显示可以缓解患者的焦虑和抑郁状态，这与本次研究结果相一致。</w:t>
      </w:r>
      <w:r>
        <w:rPr>
          <w:rFonts w:ascii="Segoe UI" w:eastAsia="Segoe UI" w:hAnsi="Segoe UI" w:cs="Segoe UI"/>
          <w:sz w:val="24"/>
          <w:shd w:val="clear" w:color="auto" w:fill="FFFFFF"/>
        </w:rPr>
        <w:t>在</w:t>
      </w:r>
      <w:r>
        <w:rPr>
          <w:rFonts w:ascii="Times New Roman" w:eastAsia="Segoe UI" w:hAnsi="Times New Roman" w:cs="Times New Roman"/>
          <w:sz w:val="24"/>
          <w:shd w:val="clear" w:color="auto" w:fill="FFFFFF"/>
        </w:rPr>
        <w:t>Rezum</w:t>
      </w:r>
      <w:r>
        <w:rPr>
          <w:rFonts w:ascii="Segoe UI" w:eastAsia="Segoe UI" w:hAnsi="Segoe UI" w:cs="Segoe UI"/>
          <w:sz w:val="24"/>
          <w:shd w:val="clear" w:color="auto" w:fill="FFFFFF"/>
        </w:rPr>
        <w:t>术后护理中，护理人员依据这一理论，通过在术后不同</w:t>
      </w:r>
      <w:r>
        <w:rPr>
          <w:rFonts w:ascii="Segoe UI" w:eastAsia="宋体" w:hAnsi="Segoe UI" w:cs="Segoe UI" w:hint="eastAsia"/>
          <w:sz w:val="24"/>
          <w:shd w:val="clear" w:color="auto" w:fill="FFFFFF"/>
        </w:rPr>
        <w:t>阶段（</w:t>
      </w:r>
      <w:r>
        <w:rPr>
          <w:rFonts w:ascii="Segoe UI" w:eastAsia="Segoe UI" w:hAnsi="Segoe UI" w:cs="Segoe UI"/>
          <w:sz w:val="24"/>
          <w:shd w:val="clear" w:color="auto" w:fill="FFFFFF"/>
        </w:rPr>
        <w:t>如术后</w:t>
      </w:r>
      <w:r>
        <w:rPr>
          <w:rFonts w:ascii="Segoe UI" w:eastAsia="宋体" w:hAnsi="Segoe UI" w:cs="Segoe UI" w:hint="eastAsia"/>
          <w:sz w:val="24"/>
          <w:shd w:val="clear" w:color="auto" w:fill="FFFFFF"/>
        </w:rPr>
        <w:t>早期的疼痛管理、下床活动，居家身体机能恢复期</w:t>
      </w:r>
      <w:r>
        <w:rPr>
          <w:rFonts w:ascii="Segoe UI" w:eastAsia="Segoe UI" w:hAnsi="Segoe UI" w:cs="Segoe UI"/>
          <w:sz w:val="24"/>
          <w:shd w:val="clear" w:color="auto" w:fill="FFFFFF"/>
        </w:rPr>
        <w:t>等关键时段</w:t>
      </w:r>
      <w:r>
        <w:rPr>
          <w:rFonts w:ascii="Segoe UI" w:eastAsia="宋体" w:hAnsi="Segoe UI" w:cs="Segoe UI" w:hint="eastAsia"/>
          <w:sz w:val="24"/>
          <w:shd w:val="clear" w:color="auto" w:fill="FFFFFF"/>
        </w:rPr>
        <w:t>）</w:t>
      </w:r>
      <w:r>
        <w:rPr>
          <w:rFonts w:ascii="Segoe UI" w:eastAsia="Segoe UI" w:hAnsi="Segoe UI" w:cs="Segoe UI"/>
          <w:sz w:val="24"/>
          <w:shd w:val="clear" w:color="auto" w:fill="FFFFFF"/>
        </w:rPr>
        <w:t>，采取个性化、针对性的激励措施，如给予患者积极的心理暗示、分享成功的康复案例、及时肯定患者的</w:t>
      </w:r>
      <w:r>
        <w:rPr>
          <w:rFonts w:ascii="Segoe UI" w:eastAsia="宋体" w:hAnsi="Segoe UI" w:cs="Segoe UI" w:hint="eastAsia"/>
          <w:sz w:val="24"/>
          <w:shd w:val="clear" w:color="auto" w:fill="FFFFFF"/>
        </w:rPr>
        <w:t>微小</w:t>
      </w:r>
      <w:r>
        <w:rPr>
          <w:rFonts w:ascii="Segoe UI" w:eastAsia="Segoe UI" w:hAnsi="Segoe UI" w:cs="Segoe UI"/>
          <w:sz w:val="24"/>
          <w:shd w:val="clear" w:color="auto" w:fill="FFFFFF"/>
        </w:rPr>
        <w:t>进步等，能够帮助患者树立战胜疾病的信心，有效缓解其焦虑、</w:t>
      </w:r>
      <w:r>
        <w:rPr>
          <w:rFonts w:ascii="Segoe UI" w:eastAsia="宋体" w:hAnsi="Segoe UI" w:cs="Segoe UI" w:hint="eastAsia"/>
          <w:sz w:val="24"/>
          <w:shd w:val="clear" w:color="auto" w:fill="FFFFFF"/>
        </w:rPr>
        <w:t>抑郁</w:t>
      </w:r>
      <w:r>
        <w:rPr>
          <w:rFonts w:ascii="Segoe UI" w:eastAsia="Segoe UI" w:hAnsi="Segoe UI" w:cs="Segoe UI"/>
          <w:sz w:val="24"/>
          <w:shd w:val="clear" w:color="auto" w:fill="FFFFFF"/>
        </w:rPr>
        <w:t>等负性</w:t>
      </w:r>
      <w:r>
        <w:rPr>
          <w:rFonts w:ascii="Segoe UI" w:eastAsia="宋体" w:hAnsi="Segoe UI" w:cs="Segoe UI" w:hint="eastAsia"/>
          <w:sz w:val="24"/>
          <w:shd w:val="clear" w:color="auto" w:fill="FFFFFF"/>
        </w:rPr>
        <w:t>心态</w:t>
      </w:r>
      <w:r>
        <w:rPr>
          <w:rFonts w:ascii="Segoe UI" w:eastAsia="Segoe UI" w:hAnsi="Segoe UI" w:cs="Segoe UI"/>
          <w:sz w:val="24"/>
          <w:shd w:val="clear" w:color="auto" w:fill="FFFFFF"/>
        </w:rPr>
        <w:t>，促进患者以更加积极乐观的心态投入到术后的康复过程中，从而提高</w:t>
      </w:r>
      <w:r>
        <w:rPr>
          <w:rFonts w:ascii="Times New Roman" w:eastAsia="宋体" w:hAnsi="Times New Roman" w:cs="Times New Roman" w:hint="eastAsia"/>
          <w:sz w:val="24"/>
        </w:rPr>
        <w:t>整体的治疗效果和患者的生活质量。</w:t>
      </w:r>
    </w:p>
    <w:p w14:paraId="22D9888E" w14:textId="77777777" w:rsidR="0029401A" w:rsidRDefault="00000000">
      <w:pPr>
        <w:spacing w:line="360" w:lineRule="auto"/>
        <w:rPr>
          <w:rFonts w:ascii="Times New Roman" w:eastAsia="宋体" w:hAnsi="Times New Roman" w:cs="Times New Roman"/>
          <w:b/>
          <w:bCs/>
          <w:sz w:val="24"/>
        </w:rPr>
      </w:pPr>
      <w:r>
        <w:rPr>
          <w:rFonts w:ascii="Times New Roman" w:eastAsia="宋体" w:hAnsi="Times New Roman" w:cs="Times New Roman"/>
          <w:b/>
          <w:bCs/>
          <w:sz w:val="24"/>
        </w:rPr>
        <w:t>3.</w:t>
      </w:r>
      <w:r>
        <w:rPr>
          <w:rFonts w:ascii="Times New Roman" w:eastAsia="宋体" w:hAnsi="Times New Roman" w:cs="Times New Roman" w:hint="eastAsia"/>
          <w:b/>
          <w:bCs/>
          <w:sz w:val="24"/>
        </w:rPr>
        <w:t>3</w:t>
      </w:r>
      <w:r>
        <w:rPr>
          <w:rFonts w:ascii="Times New Roman" w:eastAsia="宋体" w:hAnsi="Times New Roman" w:cs="Times New Roman"/>
          <w:b/>
          <w:bCs/>
          <w:sz w:val="24"/>
        </w:rPr>
        <w:t xml:space="preserve"> </w:t>
      </w:r>
      <w:r>
        <w:rPr>
          <w:rFonts w:ascii="Times New Roman" w:eastAsia="宋体" w:hAnsi="Times New Roman" w:cs="Times New Roman"/>
          <w:b/>
          <w:bCs/>
          <w:sz w:val="24"/>
        </w:rPr>
        <w:t>基于时效性激励理论的护理干预可</w:t>
      </w:r>
      <w:r>
        <w:rPr>
          <w:rFonts w:ascii="Times New Roman" w:eastAsia="宋体" w:hAnsi="Times New Roman" w:cs="Times New Roman" w:hint="eastAsia"/>
          <w:b/>
          <w:bCs/>
          <w:sz w:val="24"/>
        </w:rPr>
        <w:t>有效提高患者满意度和依从性</w:t>
      </w:r>
    </w:p>
    <w:p w14:paraId="11AF5CDE" w14:textId="77777777" w:rsidR="0029401A"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本研究基于时效性激励理论，通过整合目标分层管理和可视化追踪以及多方社会支持网络，构建三维联动的护理干预，有效推动患者从被动治疗向主动管理转化。在治疗周期内，针对患者术后早期、居家恢复期的不同需求，逐步设定从早期下床活动到社会功能重建的可行目标，同时依托健康教育游戏题库的答题结果和游戏用户身份的不同进行个性化健康教育推送，精准匹配患者各阶段能力提升需求，提高患者疾病认知水平。通过家属参与的情感激励、病友互助的榜样激励以及医护建立的生理</w:t>
      </w:r>
      <w:r>
        <w:rPr>
          <w:rFonts w:ascii="Times New Roman" w:eastAsia="宋体" w:hAnsi="Times New Roman" w:cs="Times New Roman"/>
          <w:sz w:val="24"/>
        </w:rPr>
        <w:t>—</w:t>
      </w:r>
      <w:r>
        <w:rPr>
          <w:rFonts w:ascii="Times New Roman" w:eastAsia="宋体" w:hAnsi="Times New Roman" w:cs="Times New Roman"/>
          <w:sz w:val="24"/>
        </w:rPr>
        <w:t>心理双向的康复评估反馈，形成持续性社会支持激励。结果显示，观察组患者总满意度为</w:t>
      </w:r>
      <w:r>
        <w:rPr>
          <w:rFonts w:ascii="Times New Roman" w:eastAsia="宋体" w:hAnsi="Times New Roman" w:cs="Times New Roman"/>
          <w:sz w:val="24"/>
        </w:rPr>
        <w:t>100%</w:t>
      </w:r>
      <w:r>
        <w:rPr>
          <w:rFonts w:ascii="Times New Roman" w:eastAsia="宋体" w:hAnsi="Times New Roman" w:cs="Times New Roman"/>
          <w:sz w:val="24"/>
        </w:rPr>
        <w:t>，较对照组显著提升</w:t>
      </w:r>
      <w:r>
        <w:rPr>
          <w:rFonts w:ascii="Times New Roman" w:eastAsia="宋体" w:hAnsi="Times New Roman" w:cs="Times New Roman"/>
          <w:sz w:val="24"/>
        </w:rPr>
        <w:t>16%</w:t>
      </w:r>
      <w:r>
        <w:rPr>
          <w:rFonts w:ascii="Times New Roman" w:eastAsia="宋体" w:hAnsi="Times New Roman" w:cs="Times New Roman"/>
          <w:sz w:val="24"/>
        </w:rPr>
        <w:t>（</w:t>
      </w:r>
      <w:r>
        <w:rPr>
          <w:rFonts w:ascii="Times New Roman" w:eastAsia="宋体" w:hAnsi="Times New Roman" w:cs="Times New Roman"/>
          <w:sz w:val="24"/>
        </w:rPr>
        <w:t> P&lt;0.05</w:t>
      </w:r>
      <w:r>
        <w:rPr>
          <w:rFonts w:ascii="Times New Roman" w:eastAsia="宋体" w:hAnsi="Times New Roman" w:cs="Times New Roman"/>
          <w:sz w:val="24"/>
        </w:rPr>
        <w:t>），观察组情绪管理、饮食控制、戒烟戒酒、及时用药、功能锻炼的依从性均高于对对照组（</w:t>
      </w:r>
      <w:r>
        <w:rPr>
          <w:rFonts w:ascii="Times New Roman" w:eastAsia="宋体" w:hAnsi="Times New Roman" w:cs="Times New Roman"/>
          <w:sz w:val="24"/>
        </w:rPr>
        <w:t> P&lt;0.05</w:t>
      </w:r>
      <w:r>
        <w:rPr>
          <w:rFonts w:ascii="Times New Roman" w:eastAsia="宋体" w:hAnsi="Times New Roman" w:cs="Times New Roman"/>
          <w:sz w:val="24"/>
        </w:rPr>
        <w:t>），证实基于时效性激励理论的护理干预通过目标递进、技术赋能与社会协同的有机融合，系统性提升了</w:t>
      </w:r>
      <w:r>
        <w:rPr>
          <w:rFonts w:ascii="Times New Roman" w:eastAsia="宋体" w:hAnsi="Times New Roman" w:cs="Times New Roman"/>
          <w:sz w:val="24"/>
        </w:rPr>
        <w:t>Rezum</w:t>
      </w:r>
      <w:r>
        <w:rPr>
          <w:rFonts w:ascii="Times New Roman" w:eastAsia="宋体" w:hAnsi="Times New Roman" w:cs="Times New Roman"/>
          <w:sz w:val="24"/>
        </w:rPr>
        <w:t>术后患者护理满意度和行为依从性。</w:t>
      </w:r>
    </w:p>
    <w:p w14:paraId="6925FEF7" w14:textId="77777777" w:rsidR="0029401A"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综上所述，对前列腺热蒸汽消融术患者采取基于时效性激励理论的护理干预，可改善患者的前列腺癌症状、控尿能力，缓解患者术后疼痛以及焦虑、抑郁的负性心态，从而提高患者满意度和治疗依从性。</w:t>
      </w:r>
    </w:p>
    <w:p w14:paraId="26FA6A97" w14:textId="77777777" w:rsidR="00237B9A" w:rsidRDefault="00237B9A" w:rsidP="00237B9A">
      <w:pPr>
        <w:pStyle w:val="1"/>
        <w:spacing w:line="360" w:lineRule="auto"/>
        <w:rPr>
          <w:rFonts w:asciiTheme="majorEastAsia" w:eastAsiaTheme="majorEastAsia" w:hAnsiTheme="majorEastAsia" w:cstheme="majorEastAsia" w:hint="default"/>
          <w:sz w:val="24"/>
          <w:szCs w:val="24"/>
        </w:rPr>
      </w:pPr>
    </w:p>
    <w:p w14:paraId="60F6B2A1" w14:textId="7A6C475B" w:rsidR="0029401A" w:rsidRPr="00237B9A" w:rsidRDefault="00000000" w:rsidP="00237B9A">
      <w:pPr>
        <w:pStyle w:val="1"/>
        <w:spacing w:line="360" w:lineRule="auto"/>
        <w:rPr>
          <w:rFonts w:asciiTheme="majorEastAsia" w:eastAsiaTheme="majorEastAsia" w:hAnsiTheme="majorEastAsia" w:cstheme="majorEastAsia"/>
          <w:sz w:val="24"/>
          <w:szCs w:val="24"/>
        </w:rPr>
      </w:pPr>
      <w:r w:rsidRPr="00237B9A">
        <w:rPr>
          <w:rFonts w:asciiTheme="majorEastAsia" w:eastAsiaTheme="majorEastAsia" w:hAnsiTheme="majorEastAsia" w:cstheme="majorEastAsia"/>
          <w:sz w:val="24"/>
          <w:szCs w:val="24"/>
        </w:rPr>
        <w:lastRenderedPageBreak/>
        <w:t>参考文献：</w:t>
      </w:r>
    </w:p>
    <w:p w14:paraId="41367C22" w14:textId="03F012B4"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良性前列腺增生诊疗及健康管理指南</w:t>
      </w:r>
      <w:r>
        <w:rPr>
          <w:rFonts w:ascii="Times New Roman" w:eastAsia="宋体" w:hAnsi="Times New Roman" w:cs="Times New Roman"/>
          <w:szCs w:val="21"/>
        </w:rPr>
        <w:t>[J].</w:t>
      </w:r>
      <w:r>
        <w:rPr>
          <w:rFonts w:ascii="Times New Roman" w:eastAsia="宋体" w:hAnsi="Times New Roman" w:cs="Times New Roman"/>
          <w:szCs w:val="21"/>
        </w:rPr>
        <w:t>中华男科学杂志</w:t>
      </w:r>
      <w:r>
        <w:rPr>
          <w:rFonts w:ascii="Times New Roman" w:eastAsia="宋体" w:hAnsi="Times New Roman" w:cs="Times New Roman"/>
          <w:szCs w:val="21"/>
        </w:rPr>
        <w:t>,2022,</w:t>
      </w:r>
      <w:r w:rsidR="00237B9A">
        <w:rPr>
          <w:rFonts w:ascii="Times New Roman" w:eastAsia="宋体" w:hAnsi="Times New Roman" w:cs="Times New Roman" w:hint="eastAsia"/>
          <w:szCs w:val="21"/>
        </w:rPr>
        <w:t xml:space="preserve"> </w:t>
      </w:r>
      <w:r>
        <w:rPr>
          <w:rFonts w:ascii="Times New Roman" w:eastAsia="宋体" w:hAnsi="Times New Roman" w:cs="Times New Roman"/>
          <w:szCs w:val="21"/>
        </w:rPr>
        <w:t>28(04):356-365.DOI:10.13263/j.cnki.nja.2022.04.012.</w:t>
      </w:r>
    </w:p>
    <w:p w14:paraId="3488D9C5"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rPr>
        <w:t>2</w:t>
      </w:r>
      <w:r>
        <w:rPr>
          <w:rFonts w:ascii="Times New Roman" w:eastAsia="宋体" w:hAnsi="Times New Roman" w:cs="Times New Roman"/>
          <w:szCs w:val="21"/>
        </w:rPr>
        <w:t>]</w:t>
      </w:r>
      <w:r>
        <w:rPr>
          <w:rFonts w:ascii="Times New Roman" w:eastAsia="宋体" w:hAnsi="Times New Roman" w:cs="Times New Roman"/>
          <w:szCs w:val="21"/>
        </w:rPr>
        <w:t>薛波新</w:t>
      </w:r>
      <w:r>
        <w:rPr>
          <w:rFonts w:ascii="Times New Roman" w:eastAsia="宋体" w:hAnsi="Times New Roman" w:cs="Times New Roman"/>
          <w:szCs w:val="21"/>
        </w:rPr>
        <w:t xml:space="preserve">. </w:t>
      </w:r>
      <w:r>
        <w:rPr>
          <w:rFonts w:ascii="Times New Roman" w:eastAsia="宋体" w:hAnsi="Times New Roman" w:cs="Times New Roman"/>
          <w:szCs w:val="21"/>
        </w:rPr>
        <w:t>良性前列腺增生的外科治疗前沿及进展</w:t>
      </w:r>
      <w:r>
        <w:rPr>
          <w:rFonts w:ascii="Times New Roman" w:eastAsia="宋体" w:hAnsi="Times New Roman" w:cs="Times New Roman"/>
          <w:szCs w:val="21"/>
        </w:rPr>
        <w:t xml:space="preserve"> [J]. </w:t>
      </w:r>
      <w:r>
        <w:rPr>
          <w:rFonts w:ascii="Times New Roman" w:eastAsia="宋体" w:hAnsi="Times New Roman" w:cs="Times New Roman"/>
          <w:szCs w:val="21"/>
        </w:rPr>
        <w:t>临床外科杂志</w:t>
      </w:r>
      <w:r>
        <w:rPr>
          <w:rFonts w:ascii="Times New Roman" w:eastAsia="宋体" w:hAnsi="Times New Roman" w:cs="Times New Roman"/>
          <w:szCs w:val="21"/>
        </w:rPr>
        <w:t>, 2024, 32 (02): 118-121.</w:t>
      </w:r>
    </w:p>
    <w:p w14:paraId="301AB323"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rPr>
        <w:t>3</w:t>
      </w:r>
      <w:r>
        <w:rPr>
          <w:rFonts w:ascii="Times New Roman" w:eastAsia="宋体" w:hAnsi="Times New Roman" w:cs="Times New Roman"/>
          <w:szCs w:val="21"/>
        </w:rPr>
        <w:t>]</w:t>
      </w:r>
      <w:r>
        <w:rPr>
          <w:rFonts w:ascii="Times New Roman" w:eastAsia="宋体" w:hAnsi="Times New Roman" w:cs="Times New Roman"/>
          <w:szCs w:val="21"/>
        </w:rPr>
        <w:t>师俊明</w:t>
      </w:r>
      <w:r>
        <w:rPr>
          <w:rFonts w:ascii="Times New Roman" w:eastAsia="宋体" w:hAnsi="Times New Roman" w:cs="Times New Roman"/>
          <w:szCs w:val="21"/>
        </w:rPr>
        <w:t>,</w:t>
      </w:r>
      <w:r>
        <w:rPr>
          <w:rFonts w:ascii="Times New Roman" w:eastAsia="宋体" w:hAnsi="Times New Roman" w:cs="Times New Roman"/>
          <w:szCs w:val="21"/>
        </w:rPr>
        <w:t>张燕</w:t>
      </w:r>
      <w:r>
        <w:rPr>
          <w:rFonts w:ascii="Times New Roman" w:eastAsia="宋体" w:hAnsi="Times New Roman" w:cs="Times New Roman"/>
          <w:szCs w:val="21"/>
        </w:rPr>
        <w:t>,</w:t>
      </w:r>
      <w:r>
        <w:rPr>
          <w:rFonts w:ascii="Times New Roman" w:eastAsia="宋体" w:hAnsi="Times New Roman" w:cs="Times New Roman"/>
          <w:szCs w:val="21"/>
        </w:rPr>
        <w:t>李翠芳</w:t>
      </w:r>
      <w:r>
        <w:rPr>
          <w:rFonts w:ascii="Times New Roman" w:eastAsia="宋体" w:hAnsi="Times New Roman" w:cs="Times New Roman"/>
          <w:szCs w:val="21"/>
        </w:rPr>
        <w:t>,</w:t>
      </w:r>
      <w:r>
        <w:rPr>
          <w:rFonts w:ascii="Times New Roman" w:eastAsia="宋体" w:hAnsi="Times New Roman" w:cs="Times New Roman"/>
          <w:szCs w:val="21"/>
        </w:rPr>
        <w:t>等</w:t>
      </w:r>
      <w:r>
        <w:rPr>
          <w:rFonts w:ascii="Times New Roman" w:eastAsia="宋体" w:hAnsi="Times New Roman" w:cs="Times New Roman"/>
          <w:szCs w:val="21"/>
        </w:rPr>
        <w:t xml:space="preserve">. </w:t>
      </w:r>
      <w:r>
        <w:rPr>
          <w:rFonts w:ascii="Times New Roman" w:eastAsia="宋体" w:hAnsi="Times New Roman" w:cs="Times New Roman"/>
          <w:szCs w:val="21"/>
        </w:rPr>
        <w:t>时效性激励护理对脑梗塞患者负性情绪、创伤后成长和神经功能恢复的影响</w:t>
      </w:r>
      <w:r>
        <w:rPr>
          <w:rFonts w:ascii="Times New Roman" w:eastAsia="宋体" w:hAnsi="Times New Roman" w:cs="Times New Roman"/>
          <w:szCs w:val="21"/>
        </w:rPr>
        <w:t xml:space="preserve"> [J]. </w:t>
      </w:r>
      <w:r>
        <w:rPr>
          <w:rFonts w:ascii="Times New Roman" w:eastAsia="宋体" w:hAnsi="Times New Roman" w:cs="Times New Roman"/>
          <w:szCs w:val="21"/>
        </w:rPr>
        <w:t>川北医学院学报</w:t>
      </w:r>
      <w:r>
        <w:rPr>
          <w:rFonts w:ascii="Times New Roman" w:eastAsia="宋体" w:hAnsi="Times New Roman" w:cs="Times New Roman"/>
          <w:szCs w:val="21"/>
        </w:rPr>
        <w:t>, 2024, 39 (02): 280-284.</w:t>
      </w:r>
    </w:p>
    <w:p w14:paraId="4C15E210"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冯敏</w:t>
      </w:r>
      <w:r>
        <w:rPr>
          <w:rFonts w:ascii="Times New Roman" w:eastAsia="宋体" w:hAnsi="Times New Roman" w:cs="Times New Roman"/>
          <w:szCs w:val="21"/>
        </w:rPr>
        <w:t>,</w:t>
      </w:r>
      <w:r>
        <w:rPr>
          <w:rFonts w:ascii="Times New Roman" w:eastAsia="宋体" w:hAnsi="Times New Roman" w:cs="Times New Roman"/>
          <w:szCs w:val="21"/>
        </w:rPr>
        <w:t>潘岁月</w:t>
      </w:r>
      <w:r>
        <w:rPr>
          <w:rFonts w:ascii="Times New Roman" w:eastAsia="宋体" w:hAnsi="Times New Roman" w:cs="Times New Roman"/>
          <w:szCs w:val="21"/>
        </w:rPr>
        <w:t>,</w:t>
      </w:r>
      <w:r>
        <w:rPr>
          <w:rFonts w:ascii="Times New Roman" w:eastAsia="宋体" w:hAnsi="Times New Roman" w:cs="Times New Roman"/>
          <w:szCs w:val="21"/>
        </w:rPr>
        <w:t>刘清</w:t>
      </w:r>
      <w:r>
        <w:rPr>
          <w:rFonts w:ascii="Times New Roman" w:eastAsia="宋体" w:hAnsi="Times New Roman" w:cs="Times New Roman"/>
          <w:szCs w:val="21"/>
        </w:rPr>
        <w:t>,</w:t>
      </w:r>
      <w:r>
        <w:rPr>
          <w:rFonts w:ascii="Times New Roman" w:eastAsia="宋体" w:hAnsi="Times New Roman" w:cs="Times New Roman"/>
          <w:szCs w:val="21"/>
        </w:rPr>
        <w:t>等</w:t>
      </w:r>
      <w:r>
        <w:rPr>
          <w:rFonts w:ascii="Times New Roman" w:eastAsia="宋体" w:hAnsi="Times New Roman" w:cs="Times New Roman"/>
          <w:szCs w:val="21"/>
        </w:rPr>
        <w:t xml:space="preserve">. </w:t>
      </w:r>
      <w:r>
        <w:rPr>
          <w:rFonts w:ascii="Times New Roman" w:eastAsia="宋体" w:hAnsi="Times New Roman" w:cs="Times New Roman"/>
          <w:szCs w:val="21"/>
        </w:rPr>
        <w:t>时效性激励护理对住院慢性阻塞性肺疾病患者肺康复方案执行效果的影响</w:t>
      </w:r>
      <w:r>
        <w:rPr>
          <w:rFonts w:ascii="Times New Roman" w:eastAsia="宋体" w:hAnsi="Times New Roman" w:cs="Times New Roman"/>
          <w:szCs w:val="21"/>
        </w:rPr>
        <w:t xml:space="preserve"> [J]. </w:t>
      </w:r>
      <w:r>
        <w:rPr>
          <w:rFonts w:ascii="Times New Roman" w:eastAsia="宋体" w:hAnsi="Times New Roman" w:cs="Times New Roman"/>
          <w:szCs w:val="21"/>
        </w:rPr>
        <w:t>护士进修杂志</w:t>
      </w:r>
      <w:r>
        <w:rPr>
          <w:rFonts w:ascii="Times New Roman" w:eastAsia="宋体" w:hAnsi="Times New Roman" w:cs="Times New Roman"/>
          <w:szCs w:val="21"/>
        </w:rPr>
        <w:t>, 2020, 35 (22): 2104-2107+2111. DOI:10.16821/j.cnki.hsjx.2020.22.020</w:t>
      </w:r>
    </w:p>
    <w:p w14:paraId="6A35A5CF"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rPr>
        <w:t>5</w:t>
      </w:r>
      <w:r>
        <w:rPr>
          <w:rFonts w:ascii="Times New Roman" w:eastAsia="宋体" w:hAnsi="Times New Roman" w:cs="Times New Roman"/>
          <w:szCs w:val="21"/>
        </w:rPr>
        <w:t>]</w:t>
      </w:r>
      <w:r>
        <w:rPr>
          <w:rFonts w:ascii="Times New Roman" w:eastAsia="宋体" w:hAnsi="Times New Roman" w:cs="Times New Roman"/>
          <w:szCs w:val="21"/>
        </w:rPr>
        <w:t>於青梅</w:t>
      </w:r>
      <w:r>
        <w:rPr>
          <w:rFonts w:ascii="Times New Roman" w:eastAsia="宋体" w:hAnsi="Times New Roman" w:cs="Times New Roman"/>
          <w:szCs w:val="21"/>
        </w:rPr>
        <w:t>,</w:t>
      </w:r>
      <w:r>
        <w:rPr>
          <w:rFonts w:ascii="Times New Roman" w:eastAsia="宋体" w:hAnsi="Times New Roman" w:cs="Times New Roman"/>
          <w:szCs w:val="21"/>
        </w:rPr>
        <w:t>石涛</w:t>
      </w:r>
      <w:r>
        <w:rPr>
          <w:rFonts w:ascii="Times New Roman" w:eastAsia="宋体" w:hAnsi="Times New Roman" w:cs="Times New Roman"/>
          <w:szCs w:val="21"/>
        </w:rPr>
        <w:t>,</w:t>
      </w:r>
      <w:r>
        <w:rPr>
          <w:rFonts w:ascii="Times New Roman" w:eastAsia="宋体" w:hAnsi="Times New Roman" w:cs="Times New Roman"/>
          <w:szCs w:val="21"/>
        </w:rPr>
        <w:t>管宏雪</w:t>
      </w:r>
      <w:r>
        <w:rPr>
          <w:rFonts w:ascii="Times New Roman" w:eastAsia="宋体" w:hAnsi="Times New Roman" w:cs="Times New Roman"/>
          <w:szCs w:val="21"/>
        </w:rPr>
        <w:t>,</w:t>
      </w:r>
      <w:r>
        <w:rPr>
          <w:rFonts w:ascii="Times New Roman" w:eastAsia="宋体" w:hAnsi="Times New Roman" w:cs="Times New Roman"/>
          <w:szCs w:val="21"/>
        </w:rPr>
        <w:t>等</w:t>
      </w:r>
      <w:r>
        <w:rPr>
          <w:rFonts w:ascii="Times New Roman" w:eastAsia="宋体" w:hAnsi="Times New Roman" w:cs="Times New Roman"/>
          <w:szCs w:val="21"/>
        </w:rPr>
        <w:t xml:space="preserve">. </w:t>
      </w:r>
      <w:r>
        <w:rPr>
          <w:rFonts w:ascii="Times New Roman" w:eastAsia="宋体" w:hAnsi="Times New Roman" w:cs="Times New Roman"/>
          <w:szCs w:val="21"/>
        </w:rPr>
        <w:t>间歇性清洁导尿在原位新膀胱病人中的应用进展</w:t>
      </w:r>
      <w:r>
        <w:rPr>
          <w:rFonts w:ascii="Times New Roman" w:eastAsia="宋体" w:hAnsi="Times New Roman" w:cs="Times New Roman"/>
          <w:szCs w:val="21"/>
        </w:rPr>
        <w:t xml:space="preserve"> [J]. </w:t>
      </w:r>
      <w:r>
        <w:rPr>
          <w:rFonts w:ascii="Times New Roman" w:eastAsia="宋体" w:hAnsi="Times New Roman" w:cs="Times New Roman"/>
          <w:szCs w:val="21"/>
        </w:rPr>
        <w:t>循证护理</w:t>
      </w:r>
      <w:r>
        <w:rPr>
          <w:rFonts w:ascii="Times New Roman" w:eastAsia="宋体" w:hAnsi="Times New Roman" w:cs="Times New Roman"/>
          <w:szCs w:val="21"/>
        </w:rPr>
        <w:t>, 2024, 10 (24): 4422-4426.</w:t>
      </w:r>
    </w:p>
    <w:p w14:paraId="4B79B1B4"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rPr>
        <w:t>6</w:t>
      </w:r>
      <w:r>
        <w:rPr>
          <w:rFonts w:ascii="Times New Roman" w:eastAsia="宋体" w:hAnsi="Times New Roman" w:cs="Times New Roman"/>
          <w:szCs w:val="21"/>
        </w:rPr>
        <w:t>]Ginsberg DA, Boone TB, Cameron AP, et al. The AUA/SUFU Guideline on Adult Neurogenic Lower Urinary Tract Dysfunction: Diagnosis and Evaluation. J Urol. 2021;206(5):1097-1105. doi:10.1097/JU.0000000000002235</w:t>
      </w:r>
    </w:p>
    <w:p w14:paraId="76CE1AD3"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rPr>
        <w:t>7</w:t>
      </w:r>
      <w:r>
        <w:rPr>
          <w:rFonts w:ascii="Times New Roman" w:eastAsia="宋体" w:hAnsi="Times New Roman" w:cs="Times New Roman"/>
          <w:szCs w:val="21"/>
        </w:rPr>
        <w:t>]</w:t>
      </w:r>
      <w:r>
        <w:rPr>
          <w:rFonts w:ascii="Times New Roman" w:eastAsia="宋体" w:hAnsi="Times New Roman" w:cs="Times New Roman"/>
          <w:szCs w:val="21"/>
        </w:rPr>
        <w:t>杜宁娜</w:t>
      </w:r>
      <w:r>
        <w:rPr>
          <w:rFonts w:ascii="Times New Roman" w:eastAsia="宋体" w:hAnsi="Times New Roman" w:cs="Times New Roman"/>
          <w:szCs w:val="21"/>
        </w:rPr>
        <w:t>,</w:t>
      </w:r>
      <w:r>
        <w:rPr>
          <w:rFonts w:ascii="Times New Roman" w:eastAsia="宋体" w:hAnsi="Times New Roman" w:cs="Times New Roman"/>
          <w:szCs w:val="21"/>
        </w:rPr>
        <w:t>孟凡嫣</w:t>
      </w:r>
      <w:r>
        <w:rPr>
          <w:rFonts w:ascii="Times New Roman" w:eastAsia="宋体" w:hAnsi="Times New Roman" w:cs="Times New Roman"/>
          <w:szCs w:val="21"/>
        </w:rPr>
        <w:t>,</w:t>
      </w:r>
      <w:r>
        <w:rPr>
          <w:rFonts w:ascii="Times New Roman" w:eastAsia="宋体" w:hAnsi="Times New Roman" w:cs="Times New Roman"/>
          <w:szCs w:val="21"/>
        </w:rPr>
        <w:t>梁晓玲</w:t>
      </w:r>
      <w:r>
        <w:rPr>
          <w:rFonts w:ascii="Times New Roman" w:eastAsia="宋体" w:hAnsi="Times New Roman" w:cs="Times New Roman"/>
          <w:szCs w:val="21"/>
        </w:rPr>
        <w:t>,</w:t>
      </w:r>
      <w:r>
        <w:rPr>
          <w:rFonts w:ascii="Times New Roman" w:eastAsia="宋体" w:hAnsi="Times New Roman" w:cs="Times New Roman"/>
          <w:szCs w:val="21"/>
        </w:rPr>
        <w:t>等</w:t>
      </w:r>
      <w:r>
        <w:rPr>
          <w:rFonts w:ascii="Times New Roman" w:eastAsia="宋体" w:hAnsi="Times New Roman" w:cs="Times New Roman"/>
          <w:szCs w:val="21"/>
        </w:rPr>
        <w:t xml:space="preserve">. </w:t>
      </w:r>
      <w:r>
        <w:rPr>
          <w:rFonts w:ascii="Times New Roman" w:eastAsia="宋体" w:hAnsi="Times New Roman" w:cs="Times New Roman"/>
          <w:szCs w:val="21"/>
        </w:rPr>
        <w:t>基于深度学习的神经源性膀胱患者慢病数字管理程序构建及应用</w:t>
      </w:r>
      <w:r>
        <w:rPr>
          <w:rFonts w:ascii="Times New Roman" w:eastAsia="宋体" w:hAnsi="Times New Roman" w:cs="Times New Roman"/>
          <w:szCs w:val="21"/>
        </w:rPr>
        <w:t xml:space="preserve"> [J]. </w:t>
      </w:r>
      <w:r>
        <w:rPr>
          <w:rFonts w:ascii="Times New Roman" w:eastAsia="宋体" w:hAnsi="Times New Roman" w:cs="Times New Roman"/>
          <w:szCs w:val="21"/>
        </w:rPr>
        <w:t>护理学报</w:t>
      </w:r>
      <w:r>
        <w:rPr>
          <w:rFonts w:ascii="Times New Roman" w:eastAsia="宋体" w:hAnsi="Times New Roman" w:cs="Times New Roman"/>
          <w:szCs w:val="21"/>
        </w:rPr>
        <w:t>, 2024, 31 (11): 73-78. DOI:10.16460/j.issn1008-9969.2024.11.073.</w:t>
      </w:r>
    </w:p>
    <w:p w14:paraId="190C2D04"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rPr>
        <w:t>8</w:t>
      </w:r>
      <w:r>
        <w:rPr>
          <w:rFonts w:ascii="Times New Roman" w:eastAsia="宋体" w:hAnsi="Times New Roman" w:cs="Times New Roman"/>
          <w:szCs w:val="21"/>
        </w:rPr>
        <w:t>]Selles WL</w:t>
      </w:r>
      <w:r>
        <w:rPr>
          <w:rFonts w:ascii="Times New Roman" w:eastAsia="宋体" w:hAnsi="Times New Roman" w:cs="Times New Roman"/>
          <w:szCs w:val="21"/>
        </w:rPr>
        <w:t>，</w:t>
      </w:r>
      <w:r>
        <w:rPr>
          <w:rFonts w:ascii="Times New Roman" w:eastAsia="宋体" w:hAnsi="Times New Roman" w:cs="Times New Roman"/>
          <w:szCs w:val="21"/>
        </w:rPr>
        <w:t>Santos EC</w:t>
      </w:r>
      <w:r>
        <w:rPr>
          <w:rFonts w:ascii="Times New Roman" w:eastAsia="宋体" w:hAnsi="Times New Roman" w:cs="Times New Roman"/>
          <w:szCs w:val="21"/>
        </w:rPr>
        <w:t>，</w:t>
      </w:r>
      <w:r>
        <w:rPr>
          <w:rFonts w:ascii="Times New Roman" w:eastAsia="宋体" w:hAnsi="Times New Roman" w:cs="Times New Roman"/>
          <w:szCs w:val="21"/>
        </w:rPr>
        <w:t>Romero BD</w:t>
      </w:r>
      <w:r>
        <w:rPr>
          <w:rFonts w:ascii="Times New Roman" w:eastAsia="宋体" w:hAnsi="Times New Roman" w:cs="Times New Roman"/>
          <w:szCs w:val="21"/>
        </w:rPr>
        <w:t>，</w:t>
      </w:r>
      <w:r>
        <w:rPr>
          <w:rFonts w:ascii="Times New Roman" w:eastAsia="宋体" w:hAnsi="Times New Roman" w:cs="Times New Roman"/>
          <w:szCs w:val="21"/>
        </w:rPr>
        <w:t xml:space="preserve">et al. Effectiveness of gamified exercise programs on the level of physical activity in adults with chronic diseases </w:t>
      </w:r>
      <w:r>
        <w:rPr>
          <w:rFonts w:ascii="Times New Roman" w:eastAsia="宋体" w:hAnsi="Times New Roman" w:cs="Times New Roman"/>
          <w:szCs w:val="21"/>
        </w:rPr>
        <w:t>：</w:t>
      </w:r>
      <w:r>
        <w:rPr>
          <w:rFonts w:ascii="Times New Roman" w:eastAsia="宋体" w:hAnsi="Times New Roman" w:cs="Times New Roman"/>
          <w:szCs w:val="21"/>
        </w:rPr>
        <w:t>a systematic review</w:t>
      </w:r>
      <w:r>
        <w:rPr>
          <w:rFonts w:ascii="Times New Roman" w:eastAsia="宋体" w:hAnsi="Times New Roman" w:cs="Times New Roman"/>
          <w:szCs w:val="21"/>
        </w:rPr>
        <w:t>［</w:t>
      </w:r>
      <w:r>
        <w:rPr>
          <w:rFonts w:ascii="Times New Roman" w:eastAsia="宋体" w:hAnsi="Times New Roman" w:cs="Times New Roman"/>
          <w:szCs w:val="21"/>
        </w:rPr>
        <w:t>J</w:t>
      </w:r>
      <w:r>
        <w:rPr>
          <w:rFonts w:ascii="Times New Roman" w:eastAsia="宋体" w:hAnsi="Times New Roman" w:cs="Times New Roman"/>
          <w:szCs w:val="21"/>
        </w:rPr>
        <w:t>］</w:t>
      </w:r>
      <w:r>
        <w:rPr>
          <w:rFonts w:ascii="Times New Roman" w:eastAsia="宋体" w:hAnsi="Times New Roman" w:cs="Times New Roman"/>
          <w:szCs w:val="21"/>
        </w:rPr>
        <w:t>. Disabil Rehabil</w:t>
      </w:r>
      <w:r>
        <w:rPr>
          <w:rFonts w:ascii="Times New Roman" w:eastAsia="宋体" w:hAnsi="Times New Roman" w:cs="Times New Roman"/>
          <w:szCs w:val="21"/>
        </w:rPr>
        <w:t>，</w:t>
      </w:r>
      <w:r>
        <w:rPr>
          <w:rFonts w:ascii="Times New Roman" w:eastAsia="宋体" w:hAnsi="Times New Roman" w:cs="Times New Roman"/>
          <w:szCs w:val="21"/>
        </w:rPr>
        <w:t>2024</w:t>
      </w:r>
      <w:r>
        <w:rPr>
          <w:rFonts w:ascii="Times New Roman" w:eastAsia="宋体" w:hAnsi="Times New Roman" w:cs="Times New Roman"/>
          <w:szCs w:val="21"/>
        </w:rPr>
        <w:t>：</w:t>
      </w:r>
      <w:r>
        <w:rPr>
          <w:rFonts w:ascii="Times New Roman" w:eastAsia="宋体" w:hAnsi="Times New Roman" w:cs="Times New Roman"/>
          <w:szCs w:val="21"/>
        </w:rPr>
        <w:t>1-9.</w:t>
      </w:r>
    </w:p>
    <w:p w14:paraId="786FDCDC"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rPr>
        <w:t>9</w:t>
      </w:r>
      <w:r>
        <w:rPr>
          <w:rFonts w:ascii="Times New Roman" w:eastAsia="宋体" w:hAnsi="Times New Roman" w:cs="Times New Roman"/>
          <w:szCs w:val="21"/>
        </w:rPr>
        <w:t>]Primack BA</w:t>
      </w:r>
      <w:r>
        <w:rPr>
          <w:rFonts w:ascii="Times New Roman" w:eastAsia="宋体" w:hAnsi="Times New Roman" w:cs="Times New Roman"/>
          <w:szCs w:val="21"/>
        </w:rPr>
        <w:t>，</w:t>
      </w:r>
      <w:r>
        <w:rPr>
          <w:rFonts w:ascii="Times New Roman" w:eastAsia="宋体" w:hAnsi="Times New Roman" w:cs="Times New Roman"/>
          <w:szCs w:val="21"/>
        </w:rPr>
        <w:t>Carroll MV</w:t>
      </w:r>
      <w:r>
        <w:rPr>
          <w:rFonts w:ascii="Times New Roman" w:eastAsia="宋体" w:hAnsi="Times New Roman" w:cs="Times New Roman"/>
          <w:szCs w:val="21"/>
        </w:rPr>
        <w:t>，</w:t>
      </w:r>
      <w:r>
        <w:rPr>
          <w:rFonts w:ascii="Times New Roman" w:eastAsia="宋体" w:hAnsi="Times New Roman" w:cs="Times New Roman"/>
          <w:szCs w:val="21"/>
        </w:rPr>
        <w:t>McNamara M</w:t>
      </w:r>
      <w:r>
        <w:rPr>
          <w:rFonts w:ascii="Times New Roman" w:eastAsia="宋体" w:hAnsi="Times New Roman" w:cs="Times New Roman"/>
          <w:szCs w:val="21"/>
        </w:rPr>
        <w:t>，</w:t>
      </w:r>
      <w:r>
        <w:rPr>
          <w:rFonts w:ascii="Times New Roman" w:eastAsia="宋体" w:hAnsi="Times New Roman" w:cs="Times New Roman"/>
          <w:szCs w:val="21"/>
        </w:rPr>
        <w:t>et al. Role of video games in improving health-related outcomes</w:t>
      </w:r>
      <w:r>
        <w:rPr>
          <w:rFonts w:ascii="Times New Roman" w:eastAsia="宋体" w:hAnsi="Times New Roman" w:cs="Times New Roman"/>
          <w:szCs w:val="21"/>
        </w:rPr>
        <w:t>：</w:t>
      </w:r>
      <w:r>
        <w:rPr>
          <w:rFonts w:ascii="Times New Roman" w:eastAsia="宋体" w:hAnsi="Times New Roman" w:cs="Times New Roman"/>
          <w:szCs w:val="21"/>
        </w:rPr>
        <w:t>a systematic review</w:t>
      </w:r>
      <w:r>
        <w:rPr>
          <w:rFonts w:ascii="Times New Roman" w:eastAsia="宋体" w:hAnsi="Times New Roman" w:cs="Times New Roman"/>
          <w:szCs w:val="21"/>
        </w:rPr>
        <w:t>［</w:t>
      </w:r>
      <w:r>
        <w:rPr>
          <w:rFonts w:ascii="Times New Roman" w:eastAsia="宋体" w:hAnsi="Times New Roman" w:cs="Times New Roman"/>
          <w:szCs w:val="21"/>
        </w:rPr>
        <w:t>J</w:t>
      </w:r>
      <w:r>
        <w:rPr>
          <w:rFonts w:ascii="Times New Roman" w:eastAsia="宋体" w:hAnsi="Times New Roman" w:cs="Times New Roman"/>
          <w:szCs w:val="21"/>
        </w:rPr>
        <w:t>］</w:t>
      </w:r>
      <w:r>
        <w:rPr>
          <w:rFonts w:ascii="Times New Roman" w:eastAsia="宋体" w:hAnsi="Times New Roman" w:cs="Times New Roman"/>
          <w:szCs w:val="21"/>
        </w:rPr>
        <w:t>. Am J Prev Med</w:t>
      </w:r>
      <w:r>
        <w:rPr>
          <w:rFonts w:ascii="Times New Roman" w:eastAsia="宋体" w:hAnsi="Times New Roman" w:cs="Times New Roman"/>
          <w:szCs w:val="21"/>
        </w:rPr>
        <w:t>，</w:t>
      </w:r>
      <w:r>
        <w:rPr>
          <w:rFonts w:ascii="Times New Roman" w:eastAsia="宋体" w:hAnsi="Times New Roman" w:cs="Times New Roman"/>
          <w:szCs w:val="21"/>
        </w:rPr>
        <w:t>2012</w:t>
      </w:r>
      <w:r>
        <w:rPr>
          <w:rFonts w:ascii="Times New Roman" w:eastAsia="宋体" w:hAnsi="Times New Roman" w:cs="Times New Roman"/>
          <w:szCs w:val="21"/>
        </w:rPr>
        <w:t>，</w:t>
      </w:r>
      <w:r>
        <w:rPr>
          <w:rFonts w:ascii="Times New Roman" w:eastAsia="宋体" w:hAnsi="Times New Roman" w:cs="Times New Roman"/>
          <w:szCs w:val="21"/>
        </w:rPr>
        <w:t>42</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r>
        <w:rPr>
          <w:rFonts w:ascii="Times New Roman" w:eastAsia="宋体" w:hAnsi="Times New Roman" w:cs="Times New Roman"/>
          <w:szCs w:val="21"/>
        </w:rPr>
        <w:t>630-638.</w:t>
      </w:r>
    </w:p>
    <w:p w14:paraId="5276484A"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rPr>
        <w:t>10</w:t>
      </w:r>
      <w:r>
        <w:rPr>
          <w:rFonts w:ascii="Times New Roman" w:eastAsia="宋体" w:hAnsi="Times New Roman" w:cs="Times New Roman"/>
          <w:szCs w:val="21"/>
        </w:rPr>
        <w:t>]</w:t>
      </w:r>
      <w:r>
        <w:rPr>
          <w:rFonts w:ascii="Times New Roman" w:eastAsia="宋体" w:hAnsi="Times New Roman" w:cs="Times New Roman"/>
          <w:szCs w:val="21"/>
        </w:rPr>
        <w:t>秦清丽</w:t>
      </w:r>
      <w:r>
        <w:rPr>
          <w:rFonts w:ascii="Times New Roman" w:eastAsia="宋体" w:hAnsi="Times New Roman" w:cs="Times New Roman"/>
          <w:szCs w:val="21"/>
        </w:rPr>
        <w:t>,</w:t>
      </w:r>
      <w:r>
        <w:rPr>
          <w:rFonts w:ascii="Times New Roman" w:eastAsia="宋体" w:hAnsi="Times New Roman" w:cs="Times New Roman"/>
          <w:szCs w:val="21"/>
        </w:rPr>
        <w:t>李利梅</w:t>
      </w:r>
      <w:r>
        <w:rPr>
          <w:rFonts w:ascii="Times New Roman" w:eastAsia="宋体" w:hAnsi="Times New Roman" w:cs="Times New Roman"/>
          <w:szCs w:val="21"/>
        </w:rPr>
        <w:t xml:space="preserve">. </w:t>
      </w:r>
      <w:r>
        <w:rPr>
          <w:rFonts w:ascii="Times New Roman" w:eastAsia="宋体" w:hAnsi="Times New Roman" w:cs="Times New Roman"/>
          <w:szCs w:val="21"/>
        </w:rPr>
        <w:t>激励式护理模式对甲状腺癌手术患者的影响</w:t>
      </w:r>
      <w:r>
        <w:rPr>
          <w:rFonts w:ascii="Times New Roman" w:eastAsia="宋体" w:hAnsi="Times New Roman" w:cs="Times New Roman"/>
          <w:szCs w:val="21"/>
        </w:rPr>
        <w:t xml:space="preserve"> [J]. </w:t>
      </w:r>
      <w:r>
        <w:rPr>
          <w:rFonts w:ascii="Times New Roman" w:eastAsia="宋体" w:hAnsi="Times New Roman" w:cs="Times New Roman"/>
          <w:szCs w:val="21"/>
        </w:rPr>
        <w:t>护理实践与研究</w:t>
      </w:r>
      <w:r>
        <w:rPr>
          <w:rFonts w:ascii="Times New Roman" w:eastAsia="宋体" w:hAnsi="Times New Roman" w:cs="Times New Roman"/>
          <w:szCs w:val="21"/>
        </w:rPr>
        <w:t>, 2022, 19 (07): 1030-1034.</w:t>
      </w:r>
    </w:p>
    <w:p w14:paraId="63107E4F"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rPr>
        <w:t>11</w:t>
      </w:r>
      <w:r>
        <w:rPr>
          <w:rFonts w:ascii="Times New Roman" w:eastAsia="宋体" w:hAnsi="Times New Roman" w:cs="Times New Roman"/>
          <w:szCs w:val="21"/>
        </w:rPr>
        <w:t>]Ito H, Young GJ, Lewis AL, et al. Grading Severity and Bother Using the International Prostate Symptom Score and International Consultation on Incontinence Questionnaire Male Lower Urinary Tract Symptoms Score in Men Seeking Lower Urinary Tract Symptoms Therapy. J Urol. 2020;204(5):1003-1011. doi:10.1097/JU.0000000000001149</w:t>
      </w:r>
    </w:p>
    <w:p w14:paraId="75E2DA7F"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rPr>
        <w:t>12</w:t>
      </w:r>
      <w:r>
        <w:rPr>
          <w:rFonts w:ascii="Times New Roman" w:eastAsia="宋体" w:hAnsi="Times New Roman" w:cs="Times New Roman"/>
          <w:szCs w:val="21"/>
        </w:rPr>
        <w:t>]</w:t>
      </w:r>
      <w:r>
        <w:rPr>
          <w:rFonts w:ascii="Times New Roman" w:eastAsia="宋体" w:hAnsi="Times New Roman" w:cs="Times New Roman"/>
          <w:szCs w:val="21"/>
        </w:rPr>
        <w:t>陈腊梅</w:t>
      </w:r>
      <w:r>
        <w:rPr>
          <w:rFonts w:ascii="Times New Roman" w:eastAsia="宋体" w:hAnsi="Times New Roman" w:cs="Times New Roman"/>
          <w:szCs w:val="21"/>
        </w:rPr>
        <w:t>,</w:t>
      </w:r>
      <w:r>
        <w:rPr>
          <w:rFonts w:ascii="Times New Roman" w:eastAsia="宋体" w:hAnsi="Times New Roman" w:cs="Times New Roman"/>
          <w:szCs w:val="21"/>
        </w:rPr>
        <w:t>仇中叶</w:t>
      </w:r>
      <w:r>
        <w:rPr>
          <w:rFonts w:ascii="Times New Roman" w:eastAsia="宋体" w:hAnsi="Times New Roman" w:cs="Times New Roman"/>
          <w:szCs w:val="21"/>
        </w:rPr>
        <w:t>,</w:t>
      </w:r>
      <w:r>
        <w:rPr>
          <w:rFonts w:ascii="Times New Roman" w:eastAsia="宋体" w:hAnsi="Times New Roman" w:cs="Times New Roman"/>
          <w:szCs w:val="21"/>
        </w:rPr>
        <w:t>朱钰</w:t>
      </w:r>
      <w:r>
        <w:rPr>
          <w:rFonts w:ascii="Times New Roman" w:eastAsia="宋体" w:hAnsi="Times New Roman" w:cs="Times New Roman"/>
          <w:szCs w:val="21"/>
        </w:rPr>
        <w:t xml:space="preserve">. </w:t>
      </w:r>
      <w:r>
        <w:rPr>
          <w:rFonts w:ascii="Times New Roman" w:eastAsia="宋体" w:hAnsi="Times New Roman" w:cs="Times New Roman"/>
          <w:szCs w:val="21"/>
        </w:rPr>
        <w:t>膀胱控制性训练行为疗法对前列腺电切术后尿失禁患者的影响</w:t>
      </w:r>
      <w:r>
        <w:rPr>
          <w:rFonts w:ascii="Times New Roman" w:eastAsia="宋体" w:hAnsi="Times New Roman" w:cs="Times New Roman"/>
          <w:szCs w:val="21"/>
        </w:rPr>
        <w:t xml:space="preserve"> [J]. </w:t>
      </w:r>
      <w:r>
        <w:rPr>
          <w:rFonts w:ascii="Times New Roman" w:eastAsia="宋体" w:hAnsi="Times New Roman" w:cs="Times New Roman"/>
          <w:szCs w:val="21"/>
        </w:rPr>
        <w:lastRenderedPageBreak/>
        <w:t>齐鲁护理杂志</w:t>
      </w:r>
      <w:r>
        <w:rPr>
          <w:rFonts w:ascii="Times New Roman" w:eastAsia="宋体" w:hAnsi="Times New Roman" w:cs="Times New Roman"/>
          <w:szCs w:val="21"/>
        </w:rPr>
        <w:t>, 2022, 28 (14): 161-163.</w:t>
      </w:r>
    </w:p>
    <w:p w14:paraId="188B861C"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3</w:t>
      </w:r>
      <w:r>
        <w:rPr>
          <w:rFonts w:ascii="Times New Roman" w:eastAsia="宋体" w:hAnsi="Times New Roman" w:cs="Times New Roman"/>
          <w:szCs w:val="21"/>
        </w:rPr>
        <w:t>]</w:t>
      </w:r>
      <w:r>
        <w:rPr>
          <w:rFonts w:ascii="Times New Roman" w:eastAsia="宋体" w:hAnsi="Times New Roman" w:cs="Times New Roman"/>
          <w:szCs w:val="21"/>
        </w:rPr>
        <w:t>孙皓</w:t>
      </w:r>
      <w:r>
        <w:rPr>
          <w:rFonts w:ascii="Times New Roman" w:eastAsia="宋体" w:hAnsi="Times New Roman" w:cs="Times New Roman"/>
          <w:szCs w:val="21"/>
        </w:rPr>
        <w:t>,</w:t>
      </w:r>
      <w:r>
        <w:rPr>
          <w:rFonts w:ascii="Times New Roman" w:eastAsia="宋体" w:hAnsi="Times New Roman" w:cs="Times New Roman"/>
          <w:szCs w:val="21"/>
        </w:rPr>
        <w:t>吴丽红</w:t>
      </w:r>
      <w:r>
        <w:rPr>
          <w:rFonts w:ascii="Times New Roman" w:eastAsia="宋体" w:hAnsi="Times New Roman" w:cs="Times New Roman"/>
          <w:szCs w:val="21"/>
        </w:rPr>
        <w:t>,</w:t>
      </w:r>
      <w:r>
        <w:rPr>
          <w:rFonts w:ascii="Times New Roman" w:eastAsia="宋体" w:hAnsi="Times New Roman" w:cs="Times New Roman"/>
          <w:szCs w:val="21"/>
        </w:rPr>
        <w:t>张敏</w:t>
      </w:r>
      <w:r>
        <w:rPr>
          <w:rFonts w:ascii="Times New Roman" w:eastAsia="宋体" w:hAnsi="Times New Roman" w:cs="Times New Roman"/>
          <w:szCs w:val="21"/>
        </w:rPr>
        <w:t xml:space="preserve">. </w:t>
      </w:r>
      <w:r>
        <w:rPr>
          <w:rFonts w:ascii="Times New Roman" w:eastAsia="宋体" w:hAnsi="Times New Roman" w:cs="Times New Roman"/>
          <w:szCs w:val="21"/>
        </w:rPr>
        <w:t>围术期病人术后口渴症状评估及干预的研究进展</w:t>
      </w:r>
      <w:r>
        <w:rPr>
          <w:rFonts w:ascii="Times New Roman" w:eastAsia="宋体" w:hAnsi="Times New Roman" w:cs="Times New Roman"/>
          <w:szCs w:val="21"/>
        </w:rPr>
        <w:t xml:space="preserve"> [J]. </w:t>
      </w:r>
      <w:r>
        <w:rPr>
          <w:rFonts w:ascii="Times New Roman" w:eastAsia="宋体" w:hAnsi="Times New Roman" w:cs="Times New Roman"/>
          <w:szCs w:val="21"/>
        </w:rPr>
        <w:t>全科护理</w:t>
      </w:r>
      <w:r>
        <w:rPr>
          <w:rFonts w:ascii="Times New Roman" w:eastAsia="宋体" w:hAnsi="Times New Roman" w:cs="Times New Roman"/>
          <w:szCs w:val="21"/>
        </w:rPr>
        <w:t>, 2025, 23 (13): 2436-2439.</w:t>
      </w:r>
    </w:p>
    <w:p w14:paraId="1371829B"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4</w:t>
      </w:r>
      <w:r>
        <w:rPr>
          <w:rFonts w:ascii="Times New Roman" w:eastAsia="宋体" w:hAnsi="Times New Roman" w:cs="Times New Roman"/>
          <w:szCs w:val="21"/>
        </w:rPr>
        <w:t>]</w:t>
      </w:r>
      <w:r>
        <w:rPr>
          <w:rFonts w:ascii="Times New Roman" w:eastAsia="宋体" w:hAnsi="Times New Roman" w:cs="Times New Roman"/>
          <w:szCs w:val="21"/>
        </w:rPr>
        <w:t>段泉泉</w:t>
      </w:r>
      <w:r>
        <w:rPr>
          <w:rFonts w:ascii="Times New Roman" w:eastAsia="宋体" w:hAnsi="Times New Roman" w:cs="Times New Roman"/>
          <w:szCs w:val="21"/>
        </w:rPr>
        <w:t>,</w:t>
      </w:r>
      <w:r>
        <w:rPr>
          <w:rFonts w:ascii="Times New Roman" w:eastAsia="宋体" w:hAnsi="Times New Roman" w:cs="Times New Roman"/>
          <w:szCs w:val="21"/>
        </w:rPr>
        <w:t>胜利</w:t>
      </w:r>
      <w:r>
        <w:rPr>
          <w:rFonts w:ascii="Times New Roman" w:eastAsia="宋体" w:hAnsi="Times New Roman" w:cs="Times New Roman"/>
          <w:szCs w:val="21"/>
        </w:rPr>
        <w:t xml:space="preserve">. </w:t>
      </w:r>
      <w:r>
        <w:rPr>
          <w:rFonts w:ascii="Times New Roman" w:eastAsia="宋体" w:hAnsi="Times New Roman" w:cs="Times New Roman"/>
          <w:szCs w:val="21"/>
        </w:rPr>
        <w:t>焦虑及抑郁自评量表的临床效度</w:t>
      </w:r>
      <w:r>
        <w:rPr>
          <w:rFonts w:ascii="Times New Roman" w:eastAsia="宋体" w:hAnsi="Times New Roman" w:cs="Times New Roman"/>
          <w:szCs w:val="21"/>
        </w:rPr>
        <w:t xml:space="preserve"> [J]. </w:t>
      </w:r>
      <w:r>
        <w:rPr>
          <w:rFonts w:ascii="Times New Roman" w:eastAsia="宋体" w:hAnsi="Times New Roman" w:cs="Times New Roman"/>
          <w:szCs w:val="21"/>
        </w:rPr>
        <w:t>中国心理卫生杂志</w:t>
      </w:r>
      <w:r>
        <w:rPr>
          <w:rFonts w:ascii="Times New Roman" w:eastAsia="宋体" w:hAnsi="Times New Roman" w:cs="Times New Roman"/>
          <w:szCs w:val="21"/>
        </w:rPr>
        <w:t>, 2012, 26 (09): 676-679.</w:t>
      </w:r>
    </w:p>
    <w:p w14:paraId="3D43EE78"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5</w:t>
      </w:r>
      <w:r>
        <w:rPr>
          <w:rFonts w:ascii="Times New Roman" w:eastAsia="宋体" w:hAnsi="Times New Roman" w:cs="Times New Roman"/>
          <w:szCs w:val="21"/>
        </w:rPr>
        <w:t>]Okedere TA, Idowu BM, Onigbinde SO. Ultrasonographic Intravesical Prostatic Protrusion in Men with Benign Prostatic Hyperplasia in Southwest Nigeria. J West Afr Coll Surg. 2023;13(2):16-22. doi:10.4103/jwas.jwas_270_22</w:t>
      </w:r>
    </w:p>
    <w:p w14:paraId="55AAFCCB"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6</w:t>
      </w:r>
      <w:r>
        <w:rPr>
          <w:rFonts w:ascii="Times New Roman" w:eastAsia="宋体" w:hAnsi="Times New Roman" w:cs="Times New Roman"/>
          <w:szCs w:val="21"/>
        </w:rPr>
        <w:t>]</w:t>
      </w:r>
      <w:r>
        <w:rPr>
          <w:rFonts w:ascii="Times New Roman" w:eastAsia="宋体" w:hAnsi="Times New Roman" w:cs="Times New Roman" w:hint="eastAsia"/>
          <w:szCs w:val="21"/>
        </w:rPr>
        <w:t>邵宁</w:t>
      </w:r>
      <w:r>
        <w:rPr>
          <w:rFonts w:ascii="Times New Roman" w:eastAsia="宋体" w:hAnsi="Times New Roman" w:cs="Times New Roman" w:hint="eastAsia"/>
          <w:szCs w:val="21"/>
        </w:rPr>
        <w:t>,</w:t>
      </w:r>
      <w:r>
        <w:rPr>
          <w:rFonts w:ascii="Times New Roman" w:eastAsia="宋体" w:hAnsi="Times New Roman" w:cs="Times New Roman" w:hint="eastAsia"/>
          <w:szCs w:val="21"/>
        </w:rPr>
        <w:t>曹奇峰</w:t>
      </w:r>
      <w:r>
        <w:rPr>
          <w:rFonts w:ascii="Times New Roman" w:eastAsia="宋体" w:hAnsi="Times New Roman" w:cs="Times New Roman" w:hint="eastAsia"/>
          <w:szCs w:val="21"/>
        </w:rPr>
        <w:t>,</w:t>
      </w:r>
      <w:r>
        <w:rPr>
          <w:rFonts w:ascii="Times New Roman" w:eastAsia="宋体" w:hAnsi="Times New Roman" w:cs="Times New Roman" w:hint="eastAsia"/>
          <w:szCs w:val="21"/>
        </w:rPr>
        <w:t>曹建伟</w:t>
      </w:r>
      <w:r>
        <w:rPr>
          <w:rFonts w:ascii="Times New Roman" w:eastAsia="宋体" w:hAnsi="Times New Roman" w:cs="Times New Roman" w:hint="eastAsia"/>
          <w:szCs w:val="21"/>
        </w:rPr>
        <w:t>,</w:t>
      </w:r>
      <w:r>
        <w:rPr>
          <w:rFonts w:ascii="Times New Roman" w:eastAsia="宋体" w:hAnsi="Times New Roman" w:cs="Times New Roman" w:hint="eastAsia"/>
          <w:szCs w:val="21"/>
        </w:rPr>
        <w:t>等</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经尿道前列腺热蒸汽消融术治疗良性前列腺增生患者疗效分析</w:t>
      </w:r>
      <w:r>
        <w:rPr>
          <w:rFonts w:ascii="Times New Roman" w:eastAsia="宋体" w:hAnsi="Times New Roman" w:cs="Times New Roman" w:hint="eastAsia"/>
          <w:szCs w:val="21"/>
        </w:rPr>
        <w:t xml:space="preserve"> [J]. </w:t>
      </w:r>
      <w:r>
        <w:rPr>
          <w:rFonts w:ascii="Times New Roman" w:eastAsia="宋体" w:hAnsi="Times New Roman" w:cs="Times New Roman" w:hint="eastAsia"/>
          <w:szCs w:val="21"/>
        </w:rPr>
        <w:t>中华男科学杂志</w:t>
      </w:r>
      <w:r>
        <w:rPr>
          <w:rFonts w:ascii="Times New Roman" w:eastAsia="宋体" w:hAnsi="Times New Roman" w:cs="Times New Roman" w:hint="eastAsia"/>
          <w:szCs w:val="21"/>
        </w:rPr>
        <w:t>, 2025, 31 (04): 338-340. DOI:10.13263/j.cnki.nja.2025.04.009.</w:t>
      </w:r>
    </w:p>
    <w:p w14:paraId="4A17F0BA"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[17]</w:t>
      </w:r>
      <w:r>
        <w:rPr>
          <w:rFonts w:ascii="Times New Roman" w:eastAsia="宋体" w:hAnsi="Times New Roman" w:cs="Times New Roman" w:hint="eastAsia"/>
          <w:szCs w:val="21"/>
        </w:rPr>
        <w:t>张林</w:t>
      </w:r>
      <w:r>
        <w:rPr>
          <w:rFonts w:ascii="Times New Roman" w:eastAsia="宋体" w:hAnsi="Times New Roman" w:cs="Times New Roman" w:hint="eastAsia"/>
          <w:szCs w:val="21"/>
        </w:rPr>
        <w:t>,</w:t>
      </w:r>
      <w:r>
        <w:rPr>
          <w:rFonts w:ascii="Times New Roman" w:eastAsia="宋体" w:hAnsi="Times New Roman" w:cs="Times New Roman" w:hint="eastAsia"/>
          <w:szCs w:val="21"/>
        </w:rPr>
        <w:t>唐世明</w:t>
      </w:r>
      <w:r>
        <w:rPr>
          <w:rFonts w:ascii="Times New Roman" w:eastAsia="宋体" w:hAnsi="Times New Roman" w:cs="Times New Roman" w:hint="eastAsia"/>
          <w:szCs w:val="21"/>
        </w:rPr>
        <w:t>,</w:t>
      </w:r>
      <w:r>
        <w:rPr>
          <w:rFonts w:ascii="Times New Roman" w:eastAsia="宋体" w:hAnsi="Times New Roman" w:cs="Times New Roman" w:hint="eastAsia"/>
          <w:szCs w:val="21"/>
        </w:rPr>
        <w:t>陈奇</w:t>
      </w:r>
      <w:r>
        <w:rPr>
          <w:rFonts w:ascii="Times New Roman" w:eastAsia="宋体" w:hAnsi="Times New Roman" w:cs="Times New Roman" w:hint="eastAsia"/>
          <w:szCs w:val="21"/>
        </w:rPr>
        <w:t>,</w:t>
      </w:r>
      <w:r>
        <w:rPr>
          <w:rFonts w:ascii="Times New Roman" w:eastAsia="宋体" w:hAnsi="Times New Roman" w:cs="Times New Roman" w:hint="eastAsia"/>
          <w:szCs w:val="21"/>
        </w:rPr>
        <w:t>等</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女性尿失禁病人自我管理移动医疗应用及研究进展</w:t>
      </w:r>
      <w:r>
        <w:rPr>
          <w:rFonts w:ascii="Times New Roman" w:eastAsia="宋体" w:hAnsi="Times New Roman" w:cs="Times New Roman" w:hint="eastAsia"/>
          <w:szCs w:val="21"/>
        </w:rPr>
        <w:t xml:space="preserve"> [J]. </w:t>
      </w:r>
      <w:r>
        <w:rPr>
          <w:rFonts w:ascii="Times New Roman" w:eastAsia="宋体" w:hAnsi="Times New Roman" w:cs="Times New Roman" w:hint="eastAsia"/>
          <w:szCs w:val="21"/>
        </w:rPr>
        <w:t>全科护理</w:t>
      </w:r>
      <w:r>
        <w:rPr>
          <w:rFonts w:ascii="Times New Roman" w:eastAsia="宋体" w:hAnsi="Times New Roman" w:cs="Times New Roman" w:hint="eastAsia"/>
          <w:szCs w:val="21"/>
        </w:rPr>
        <w:t>, 2023, 21 (10): 1357-1360.</w:t>
      </w:r>
    </w:p>
    <w:p w14:paraId="3EB5158D" w14:textId="77777777" w:rsidR="0029401A" w:rsidRDefault="00000000">
      <w:pPr>
        <w:spacing w:line="360" w:lineRule="auto"/>
        <w:rPr>
          <w:rFonts w:ascii="Arial" w:eastAsia="宋体" w:hAnsi="Arial" w:cs="Arial"/>
          <w:color w:val="333333"/>
          <w:szCs w:val="21"/>
          <w:shd w:val="clear" w:color="auto" w:fill="FFFFFF"/>
        </w:rPr>
      </w:pPr>
      <w:r>
        <w:rPr>
          <w:rFonts w:ascii="Times New Roman" w:eastAsia="宋体" w:hAnsi="Times New Roman" w:cs="Times New Roman" w:hint="eastAsia"/>
          <w:szCs w:val="21"/>
        </w:rPr>
        <w:t>[18]</w:t>
      </w:r>
      <w:r>
        <w:rPr>
          <w:rFonts w:ascii="Arial" w:eastAsia="宋体" w:hAnsi="Arial" w:cs="Arial"/>
          <w:color w:val="333333"/>
          <w:szCs w:val="21"/>
          <w:shd w:val="clear" w:color="auto" w:fill="FFFFFF"/>
        </w:rPr>
        <w:t>李焰蕻</w:t>
      </w:r>
      <w:r>
        <w:rPr>
          <w:rFonts w:ascii="Arial" w:eastAsia="宋体" w:hAnsi="Arial" w:cs="Arial"/>
          <w:color w:val="333333"/>
          <w:szCs w:val="21"/>
          <w:shd w:val="clear" w:color="auto" w:fill="FFFFFF"/>
        </w:rPr>
        <w:t>,</w:t>
      </w:r>
      <w:r>
        <w:rPr>
          <w:rFonts w:ascii="Arial" w:eastAsia="宋体" w:hAnsi="Arial" w:cs="Arial"/>
          <w:color w:val="333333"/>
          <w:szCs w:val="21"/>
          <w:shd w:val="clear" w:color="auto" w:fill="FFFFFF"/>
        </w:rPr>
        <w:t>赵发巧</w:t>
      </w:r>
      <w:r>
        <w:rPr>
          <w:rFonts w:ascii="Arial" w:eastAsia="宋体" w:hAnsi="Arial" w:cs="Arial"/>
          <w:color w:val="333333"/>
          <w:szCs w:val="21"/>
          <w:shd w:val="clear" w:color="auto" w:fill="FFFFFF"/>
        </w:rPr>
        <w:t>,</w:t>
      </w:r>
      <w:r>
        <w:rPr>
          <w:rFonts w:ascii="Arial" w:eastAsia="宋体" w:hAnsi="Arial" w:cs="Arial"/>
          <w:color w:val="333333"/>
          <w:szCs w:val="21"/>
          <w:shd w:val="clear" w:color="auto" w:fill="FFFFFF"/>
        </w:rPr>
        <w:t>吴海丽</w:t>
      </w:r>
      <w:r>
        <w:rPr>
          <w:rFonts w:ascii="Arial" w:eastAsia="宋体" w:hAnsi="Arial" w:cs="Arial"/>
          <w:color w:val="333333"/>
          <w:szCs w:val="21"/>
          <w:shd w:val="clear" w:color="auto" w:fill="FFFFFF"/>
        </w:rPr>
        <w:t xml:space="preserve">. </w:t>
      </w:r>
      <w:r>
        <w:rPr>
          <w:rFonts w:ascii="Arial" w:eastAsia="宋体" w:hAnsi="Arial" w:cs="Arial"/>
          <w:color w:val="333333"/>
          <w:szCs w:val="21"/>
          <w:shd w:val="clear" w:color="auto" w:fill="FFFFFF"/>
        </w:rPr>
        <w:t>基于时效性激励理论的集束化中西医结合护理干预在急性心肌梗死</w:t>
      </w:r>
      <w:r>
        <w:rPr>
          <w:rFonts w:ascii="Arial" w:eastAsia="宋体" w:hAnsi="Arial" w:cs="Arial"/>
          <w:color w:val="333333"/>
          <w:szCs w:val="21"/>
          <w:shd w:val="clear" w:color="auto" w:fill="FFFFFF"/>
        </w:rPr>
        <w:t>PCI</w:t>
      </w:r>
      <w:r>
        <w:rPr>
          <w:rFonts w:ascii="Arial" w:eastAsia="宋体" w:hAnsi="Arial" w:cs="Arial"/>
          <w:color w:val="333333"/>
          <w:szCs w:val="21"/>
          <w:shd w:val="clear" w:color="auto" w:fill="FFFFFF"/>
        </w:rPr>
        <w:t>术后患者中的应用</w:t>
      </w:r>
      <w:r>
        <w:rPr>
          <w:rFonts w:ascii="Arial" w:eastAsia="宋体" w:hAnsi="Arial" w:cs="Arial"/>
          <w:color w:val="333333"/>
          <w:szCs w:val="21"/>
          <w:shd w:val="clear" w:color="auto" w:fill="FFFFFF"/>
        </w:rPr>
        <w:t xml:space="preserve"> [J]. </w:t>
      </w:r>
      <w:r>
        <w:rPr>
          <w:rFonts w:ascii="Arial" w:eastAsia="宋体" w:hAnsi="Arial" w:cs="Arial"/>
          <w:color w:val="333333"/>
          <w:szCs w:val="21"/>
          <w:shd w:val="clear" w:color="auto" w:fill="FFFFFF"/>
        </w:rPr>
        <w:t>心血管病防治知识</w:t>
      </w:r>
      <w:r>
        <w:rPr>
          <w:rFonts w:ascii="Arial" w:eastAsia="宋体" w:hAnsi="Arial" w:cs="Arial"/>
          <w:color w:val="333333"/>
          <w:szCs w:val="21"/>
          <w:shd w:val="clear" w:color="auto" w:fill="FFFFFF"/>
        </w:rPr>
        <w:t>, 2024, 14 (06): 106-109.</w:t>
      </w:r>
    </w:p>
    <w:p w14:paraId="792AE974" w14:textId="77777777" w:rsidR="0029401A"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[19]</w:t>
      </w:r>
      <w:r>
        <w:rPr>
          <w:rFonts w:ascii="Times New Roman" w:eastAsia="宋体" w:hAnsi="Times New Roman" w:cs="Times New Roman"/>
          <w:szCs w:val="21"/>
        </w:rPr>
        <w:t>邹霜</w:t>
      </w:r>
      <w:r>
        <w:rPr>
          <w:rFonts w:ascii="Times New Roman" w:eastAsia="宋体" w:hAnsi="Times New Roman" w:cs="Times New Roman"/>
          <w:szCs w:val="21"/>
        </w:rPr>
        <w:t>,</w:t>
      </w:r>
      <w:r>
        <w:rPr>
          <w:rFonts w:ascii="Times New Roman" w:eastAsia="宋体" w:hAnsi="Times New Roman" w:cs="Times New Roman"/>
          <w:szCs w:val="21"/>
        </w:rPr>
        <w:t>王杨</w:t>
      </w:r>
      <w:r>
        <w:rPr>
          <w:rFonts w:ascii="Times New Roman" w:eastAsia="宋体" w:hAnsi="Times New Roman" w:cs="Times New Roman"/>
          <w:szCs w:val="21"/>
        </w:rPr>
        <w:t>,</w:t>
      </w:r>
      <w:r>
        <w:rPr>
          <w:rFonts w:ascii="Times New Roman" w:eastAsia="宋体" w:hAnsi="Times New Roman" w:cs="Times New Roman"/>
          <w:szCs w:val="21"/>
        </w:rPr>
        <w:t>王冉</w:t>
      </w:r>
      <w:r>
        <w:rPr>
          <w:rFonts w:ascii="Times New Roman" w:eastAsia="宋体" w:hAnsi="Times New Roman" w:cs="Times New Roman"/>
          <w:szCs w:val="21"/>
        </w:rPr>
        <w:t>,</w:t>
      </w:r>
      <w:r>
        <w:rPr>
          <w:rFonts w:ascii="Times New Roman" w:eastAsia="宋体" w:hAnsi="Times New Roman" w:cs="Times New Roman"/>
          <w:szCs w:val="21"/>
        </w:rPr>
        <w:t>等</w:t>
      </w:r>
      <w:r>
        <w:rPr>
          <w:rFonts w:ascii="Times New Roman" w:eastAsia="宋体" w:hAnsi="Times New Roman" w:cs="Times New Roman"/>
          <w:szCs w:val="21"/>
        </w:rPr>
        <w:t xml:space="preserve">. </w:t>
      </w:r>
      <w:r>
        <w:rPr>
          <w:rFonts w:ascii="Times New Roman" w:eastAsia="宋体" w:hAnsi="Times New Roman" w:cs="Times New Roman"/>
          <w:szCs w:val="21"/>
        </w:rPr>
        <w:t>时效性激励理论干预对维持性血液透析患者情绪和应对方式的影响</w:t>
      </w:r>
      <w:r>
        <w:rPr>
          <w:rFonts w:ascii="Times New Roman" w:eastAsia="宋体" w:hAnsi="Times New Roman" w:cs="Times New Roman"/>
          <w:szCs w:val="21"/>
        </w:rPr>
        <w:t xml:space="preserve"> [J]. </w:t>
      </w:r>
      <w:r>
        <w:rPr>
          <w:rFonts w:ascii="Times New Roman" w:eastAsia="宋体" w:hAnsi="Times New Roman" w:cs="Times New Roman"/>
          <w:szCs w:val="21"/>
        </w:rPr>
        <w:t>中国健康心理学杂志</w:t>
      </w:r>
      <w:r>
        <w:rPr>
          <w:rFonts w:ascii="Times New Roman" w:eastAsia="宋体" w:hAnsi="Times New Roman" w:cs="Times New Roman"/>
          <w:szCs w:val="21"/>
        </w:rPr>
        <w:t>, 2024, 32 (05): 730-736. DOI:10.13342/j.cnki.cjhp.2024.05.017.</w:t>
      </w:r>
    </w:p>
    <w:p w14:paraId="2AF106EA" w14:textId="77777777" w:rsidR="0029401A" w:rsidRDefault="0029401A">
      <w:pPr>
        <w:spacing w:line="360" w:lineRule="auto"/>
        <w:rPr>
          <w:rFonts w:ascii="Arial" w:eastAsia="宋体" w:hAnsi="Arial" w:cs="Arial"/>
          <w:color w:val="333333"/>
          <w:szCs w:val="21"/>
          <w:shd w:val="clear" w:color="auto" w:fill="FFFFFF"/>
        </w:rPr>
      </w:pPr>
    </w:p>
    <w:sectPr w:rsidR="002940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94B"/>
    <w:multiLevelType w:val="multilevel"/>
    <w:tmpl w:val="F38A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948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B4C"/>
    <w:rsid w:val="000B6281"/>
    <w:rsid w:val="000C7F60"/>
    <w:rsid w:val="00237B9A"/>
    <w:rsid w:val="002713BB"/>
    <w:rsid w:val="0029401A"/>
    <w:rsid w:val="002D32A5"/>
    <w:rsid w:val="004A5BD0"/>
    <w:rsid w:val="00514AF1"/>
    <w:rsid w:val="00542629"/>
    <w:rsid w:val="006B3B4C"/>
    <w:rsid w:val="00740AF4"/>
    <w:rsid w:val="008A291C"/>
    <w:rsid w:val="009D6949"/>
    <w:rsid w:val="00CF5873"/>
    <w:rsid w:val="00D56362"/>
    <w:rsid w:val="00DE2422"/>
    <w:rsid w:val="00E2683F"/>
    <w:rsid w:val="00E55E55"/>
    <w:rsid w:val="00F939D6"/>
    <w:rsid w:val="00FA4A31"/>
    <w:rsid w:val="02D212D8"/>
    <w:rsid w:val="0328714A"/>
    <w:rsid w:val="038D4E78"/>
    <w:rsid w:val="039268A9"/>
    <w:rsid w:val="042F62B6"/>
    <w:rsid w:val="05121E5F"/>
    <w:rsid w:val="05D763F5"/>
    <w:rsid w:val="05E57574"/>
    <w:rsid w:val="061D6D0E"/>
    <w:rsid w:val="070D6D82"/>
    <w:rsid w:val="07A019A5"/>
    <w:rsid w:val="07D05C33"/>
    <w:rsid w:val="07E6447C"/>
    <w:rsid w:val="09CD7971"/>
    <w:rsid w:val="0AA736C5"/>
    <w:rsid w:val="0C0B585A"/>
    <w:rsid w:val="0C6A432F"/>
    <w:rsid w:val="0CC55A09"/>
    <w:rsid w:val="0E597CAB"/>
    <w:rsid w:val="0F7A6F7F"/>
    <w:rsid w:val="0FCD3553"/>
    <w:rsid w:val="117D68B3"/>
    <w:rsid w:val="11A37B3F"/>
    <w:rsid w:val="11BB73DB"/>
    <w:rsid w:val="126F4193"/>
    <w:rsid w:val="12887C05"/>
    <w:rsid w:val="129A3494"/>
    <w:rsid w:val="130B225F"/>
    <w:rsid w:val="13710699"/>
    <w:rsid w:val="151E65FF"/>
    <w:rsid w:val="15612461"/>
    <w:rsid w:val="15E11B06"/>
    <w:rsid w:val="15E2587E"/>
    <w:rsid w:val="16783AEC"/>
    <w:rsid w:val="17E416FE"/>
    <w:rsid w:val="18075128"/>
    <w:rsid w:val="18243F2C"/>
    <w:rsid w:val="1872058F"/>
    <w:rsid w:val="19720CC7"/>
    <w:rsid w:val="19B32CDE"/>
    <w:rsid w:val="19EE47F1"/>
    <w:rsid w:val="1A5B79AD"/>
    <w:rsid w:val="1A7D5B75"/>
    <w:rsid w:val="1B416BA3"/>
    <w:rsid w:val="1C273FEB"/>
    <w:rsid w:val="1CF30371"/>
    <w:rsid w:val="1D391997"/>
    <w:rsid w:val="1E432C32"/>
    <w:rsid w:val="1EB06519"/>
    <w:rsid w:val="1F3D3B25"/>
    <w:rsid w:val="1F9279CD"/>
    <w:rsid w:val="21507B40"/>
    <w:rsid w:val="21981837"/>
    <w:rsid w:val="23AE55EA"/>
    <w:rsid w:val="23BA5744"/>
    <w:rsid w:val="23EE5BE7"/>
    <w:rsid w:val="25585215"/>
    <w:rsid w:val="25FF38E2"/>
    <w:rsid w:val="26194C73"/>
    <w:rsid w:val="274E7569"/>
    <w:rsid w:val="278E13C2"/>
    <w:rsid w:val="278F0C96"/>
    <w:rsid w:val="27FC337D"/>
    <w:rsid w:val="28956780"/>
    <w:rsid w:val="28EB63A0"/>
    <w:rsid w:val="299D58EC"/>
    <w:rsid w:val="29A50C45"/>
    <w:rsid w:val="29C72969"/>
    <w:rsid w:val="2A6E1037"/>
    <w:rsid w:val="2A9270B0"/>
    <w:rsid w:val="2A9F7442"/>
    <w:rsid w:val="2C066AE0"/>
    <w:rsid w:val="2E485166"/>
    <w:rsid w:val="2E586DFA"/>
    <w:rsid w:val="2F407445"/>
    <w:rsid w:val="2FAF6379"/>
    <w:rsid w:val="30CB4729"/>
    <w:rsid w:val="31A817A0"/>
    <w:rsid w:val="32081D71"/>
    <w:rsid w:val="320F1351"/>
    <w:rsid w:val="32133C80"/>
    <w:rsid w:val="322C1F03"/>
    <w:rsid w:val="32B31CDC"/>
    <w:rsid w:val="33D3577E"/>
    <w:rsid w:val="34DD1293"/>
    <w:rsid w:val="37092813"/>
    <w:rsid w:val="370E1BD7"/>
    <w:rsid w:val="38E54BBA"/>
    <w:rsid w:val="39BE097C"/>
    <w:rsid w:val="39FC5113"/>
    <w:rsid w:val="3A4C26B3"/>
    <w:rsid w:val="3AFB2473"/>
    <w:rsid w:val="3B2319C9"/>
    <w:rsid w:val="3B626996"/>
    <w:rsid w:val="3BA40D5C"/>
    <w:rsid w:val="3D015D3A"/>
    <w:rsid w:val="3D1E069A"/>
    <w:rsid w:val="3D7B3A13"/>
    <w:rsid w:val="3DBF00CF"/>
    <w:rsid w:val="3DD03ACB"/>
    <w:rsid w:val="3E1877DF"/>
    <w:rsid w:val="40784565"/>
    <w:rsid w:val="40AD420F"/>
    <w:rsid w:val="41876612"/>
    <w:rsid w:val="4258464E"/>
    <w:rsid w:val="445A46AE"/>
    <w:rsid w:val="45132AAF"/>
    <w:rsid w:val="45863281"/>
    <w:rsid w:val="45AD2F03"/>
    <w:rsid w:val="45C41B12"/>
    <w:rsid w:val="46AB6703"/>
    <w:rsid w:val="471F46C0"/>
    <w:rsid w:val="47427FE5"/>
    <w:rsid w:val="47441677"/>
    <w:rsid w:val="47677770"/>
    <w:rsid w:val="47E86474"/>
    <w:rsid w:val="4A227A1C"/>
    <w:rsid w:val="4AAC432F"/>
    <w:rsid w:val="4C417657"/>
    <w:rsid w:val="4C50415B"/>
    <w:rsid w:val="4C8A5D4C"/>
    <w:rsid w:val="4D151ABA"/>
    <w:rsid w:val="4D2409BE"/>
    <w:rsid w:val="4DFC0DC2"/>
    <w:rsid w:val="4EF94AC3"/>
    <w:rsid w:val="4FFA0AF3"/>
    <w:rsid w:val="511D2CEB"/>
    <w:rsid w:val="51B549B9"/>
    <w:rsid w:val="526D6413"/>
    <w:rsid w:val="527414FE"/>
    <w:rsid w:val="527A572D"/>
    <w:rsid w:val="52E066C6"/>
    <w:rsid w:val="52F537F4"/>
    <w:rsid w:val="54A84FC1"/>
    <w:rsid w:val="54B94928"/>
    <w:rsid w:val="563665FD"/>
    <w:rsid w:val="5638698C"/>
    <w:rsid w:val="56763838"/>
    <w:rsid w:val="56CE4A87"/>
    <w:rsid w:val="57607DD5"/>
    <w:rsid w:val="58417026"/>
    <w:rsid w:val="5A483BEE"/>
    <w:rsid w:val="5B6B0AF7"/>
    <w:rsid w:val="5BAB5397"/>
    <w:rsid w:val="5BC326E1"/>
    <w:rsid w:val="5E563CE0"/>
    <w:rsid w:val="5E8E6FD6"/>
    <w:rsid w:val="5F993BEE"/>
    <w:rsid w:val="5F9A418B"/>
    <w:rsid w:val="60302C77"/>
    <w:rsid w:val="603E4A2C"/>
    <w:rsid w:val="60E8493F"/>
    <w:rsid w:val="613B0F6B"/>
    <w:rsid w:val="61826B9A"/>
    <w:rsid w:val="623B7475"/>
    <w:rsid w:val="63402869"/>
    <w:rsid w:val="639D16DD"/>
    <w:rsid w:val="64033FC2"/>
    <w:rsid w:val="65200BA4"/>
    <w:rsid w:val="65613696"/>
    <w:rsid w:val="663C7C5F"/>
    <w:rsid w:val="66601C37"/>
    <w:rsid w:val="67FC3B0F"/>
    <w:rsid w:val="682409AB"/>
    <w:rsid w:val="68A51760"/>
    <w:rsid w:val="68C65505"/>
    <w:rsid w:val="6A9F2573"/>
    <w:rsid w:val="6B064398"/>
    <w:rsid w:val="6B5275DD"/>
    <w:rsid w:val="6B8005EE"/>
    <w:rsid w:val="6C291FF2"/>
    <w:rsid w:val="6C4D6279"/>
    <w:rsid w:val="6C755C79"/>
    <w:rsid w:val="6CB0280D"/>
    <w:rsid w:val="6CB30550"/>
    <w:rsid w:val="6CC22541"/>
    <w:rsid w:val="6E7855AD"/>
    <w:rsid w:val="6E9879FD"/>
    <w:rsid w:val="6ED076BE"/>
    <w:rsid w:val="6EDC3D8E"/>
    <w:rsid w:val="702519D9"/>
    <w:rsid w:val="709D3452"/>
    <w:rsid w:val="70A46B2D"/>
    <w:rsid w:val="70DC0935"/>
    <w:rsid w:val="719A5A21"/>
    <w:rsid w:val="71B12624"/>
    <w:rsid w:val="71E122C9"/>
    <w:rsid w:val="71E16E22"/>
    <w:rsid w:val="72060A5C"/>
    <w:rsid w:val="727A233F"/>
    <w:rsid w:val="74C72DEA"/>
    <w:rsid w:val="751002ED"/>
    <w:rsid w:val="75DE03EB"/>
    <w:rsid w:val="76564426"/>
    <w:rsid w:val="767D5E56"/>
    <w:rsid w:val="76E063E5"/>
    <w:rsid w:val="779F437F"/>
    <w:rsid w:val="780879A1"/>
    <w:rsid w:val="78751649"/>
    <w:rsid w:val="78856D19"/>
    <w:rsid w:val="79091C23"/>
    <w:rsid w:val="7A124B07"/>
    <w:rsid w:val="7B2C1BF9"/>
    <w:rsid w:val="7B356C01"/>
    <w:rsid w:val="7BB31795"/>
    <w:rsid w:val="7CDF5BE8"/>
    <w:rsid w:val="7D0F1D9C"/>
    <w:rsid w:val="7DED1A9A"/>
    <w:rsid w:val="7E5A4CCF"/>
    <w:rsid w:val="7E6D4A02"/>
    <w:rsid w:val="7E971A7F"/>
    <w:rsid w:val="7EF46ED2"/>
    <w:rsid w:val="7F5B0CFF"/>
    <w:rsid w:val="7F855D7C"/>
    <w:rsid w:val="7FF007FC"/>
    <w:rsid w:val="7FFF1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6B0E95"/>
  <w15:docId w15:val="{43A9BE4E-28C1-4EE1-BCDA-0E0FAB3DF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Body Text 3"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qFormat/>
    <w:pPr>
      <w:spacing w:after="120"/>
    </w:pPr>
    <w:rPr>
      <w:sz w:val="16"/>
    </w:rPr>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tabs>
        <w:tab w:val="center" w:pos="4153"/>
        <w:tab w:val="right" w:pos="8306"/>
      </w:tabs>
      <w:snapToGrid w:val="0"/>
      <w:jc w:val="center"/>
    </w:pPr>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7">
    <w:name w:val="Normal (Web)"/>
    <w:basedOn w:val="a"/>
    <w:rPr>
      <w:sz w:val="24"/>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Emphasis"/>
    <w:basedOn w:val="a0"/>
    <w:qFormat/>
    <w:rPr>
      <w:i/>
    </w:rPr>
  </w:style>
  <w:style w:type="character" w:styleId="ab">
    <w:name w:val="Hyperlink"/>
    <w:basedOn w:val="a0"/>
    <w:qFormat/>
    <w:rPr>
      <w:color w:val="0000FF"/>
      <w:u w:val="single"/>
    </w:rPr>
  </w:style>
  <w:style w:type="paragraph" w:customStyle="1" w:styleId="p1">
    <w:name w:val="p1"/>
    <w:basedOn w:val="a"/>
    <w:qFormat/>
    <w:pPr>
      <w:widowControl/>
      <w:spacing w:before="100" w:beforeAutospacing="1" w:after="100" w:afterAutospacing="1"/>
      <w:jc w:val="left"/>
    </w:pPr>
    <w:rPr>
      <w:rFonts w:ascii="宋体" w:eastAsia="宋体" w:hAnsi="宋体" w:cs="宋体"/>
      <w:kern w:val="0"/>
      <w:sz w:val="24"/>
    </w:rPr>
  </w:style>
  <w:style w:type="character" w:customStyle="1" w:styleId="a6">
    <w:name w:val="页眉 字符"/>
    <w:basedOn w:val="a0"/>
    <w:link w:val="a5"/>
    <w:rPr>
      <w:rFonts w:asciiTheme="minorHAnsi" w:eastAsiaTheme="minorEastAsia" w:hAnsiTheme="minorHAnsi" w:cstheme="minorBidi"/>
      <w:kern w:val="2"/>
      <w:sz w:val="18"/>
      <w:szCs w:val="18"/>
    </w:rPr>
  </w:style>
  <w:style w:type="character" w:customStyle="1" w:styleId="a4">
    <w:name w:val="页脚 字符"/>
    <w:basedOn w:val="a0"/>
    <w:link w:val="a3"/>
    <w:rPr>
      <w:rFonts w:asciiTheme="minorHAnsi" w:eastAsiaTheme="minorEastAsia" w:hAnsiTheme="minorHAnsi" w:cstheme="minorBidi"/>
      <w:kern w:val="2"/>
      <w:sz w:val="18"/>
      <w:szCs w:val="18"/>
    </w:rPr>
  </w:style>
  <w:style w:type="character" w:styleId="ac">
    <w:name w:val="Unresolved Mention"/>
    <w:basedOn w:val="a0"/>
    <w:uiPriority w:val="99"/>
    <w:semiHidden/>
    <w:unhideWhenUsed/>
    <w:rsid w:val="00DE2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721656">
      <w:bodyDiv w:val="1"/>
      <w:marLeft w:val="0"/>
      <w:marRight w:val="0"/>
      <w:marTop w:val="0"/>
      <w:marBottom w:val="0"/>
      <w:divBdr>
        <w:top w:val="none" w:sz="0" w:space="0" w:color="auto"/>
        <w:left w:val="none" w:sz="0" w:space="0" w:color="auto"/>
        <w:bottom w:val="none" w:sz="0" w:space="0" w:color="auto"/>
        <w:right w:val="none" w:sz="0" w:space="0" w:color="auto"/>
      </w:divBdr>
    </w:div>
    <w:div w:id="936406532">
      <w:bodyDiv w:val="1"/>
      <w:marLeft w:val="0"/>
      <w:marRight w:val="0"/>
      <w:marTop w:val="0"/>
      <w:marBottom w:val="0"/>
      <w:divBdr>
        <w:top w:val="none" w:sz="0" w:space="0" w:color="auto"/>
        <w:left w:val="none" w:sz="0" w:space="0" w:color="auto"/>
        <w:bottom w:val="none" w:sz="0" w:space="0" w:color="auto"/>
        <w:right w:val="none" w:sz="0" w:space="0" w:color="auto"/>
      </w:divBdr>
    </w:div>
    <w:div w:id="1011836681">
      <w:bodyDiv w:val="1"/>
      <w:marLeft w:val="0"/>
      <w:marRight w:val="0"/>
      <w:marTop w:val="0"/>
      <w:marBottom w:val="0"/>
      <w:divBdr>
        <w:top w:val="none" w:sz="0" w:space="0" w:color="auto"/>
        <w:left w:val="none" w:sz="0" w:space="0" w:color="auto"/>
        <w:bottom w:val="none" w:sz="0" w:space="0" w:color="auto"/>
        <w:right w:val="none" w:sz="0" w:space="0" w:color="auto"/>
      </w:divBdr>
    </w:div>
    <w:div w:id="1214466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865298687@qq.com" TargetMode="Externa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12</Pages>
  <Words>5917</Words>
  <Characters>6628</Characters>
  <Application>Microsoft Office Word</Application>
  <DocSecurity>0</DocSecurity>
  <Lines>245</Lines>
  <Paragraphs>256</Paragraphs>
  <ScaleCrop>false</ScaleCrop>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歌 岛</cp:lastModifiedBy>
  <cp:revision>4</cp:revision>
  <dcterms:created xsi:type="dcterms:W3CDTF">2025-08-04T03:46:00Z</dcterms:created>
  <dcterms:modified xsi:type="dcterms:W3CDTF">2025-08-04T04:19:00Z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eyJoZGlkIjoiODMyZTdkMTNhNjUxYmQwNTg4YjcwNDg2M2M1NzYyYzAiLCJ1c2VySWQiOiIyOTExMTExNDUifQ==</vt:lpwstr>
  </property>
  <property fmtid="{D5CDD505-2E9C-101B-9397-08002B2CF9AE}" pid="4" name="ICV">
    <vt:lpwstr>EF40E8D7501A416EA4C1D10095504A5B_12</vt:lpwstr>
  </property>
</Properties>
</file>