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40"/>
        <w:jc w:val="center"/>
      </w:pPr>
      <w:r>
        <w:rPr>
          <w:rFonts w:ascii="Times New Roman" w:hAnsi="Times New Roman" w:eastAsia="黑体"/>
          <w:b/>
          <w:bCs/>
          <w:color w:val="000000"/>
          <w:sz w:val="30"/>
        </w:rPr>
        <w:t xml:space="preserve">PACE: Phase-Aware Constraint Enforcement for Vision-Language-Action Models</w:t>
      </w:r>
    </w:p>
    <w:bookmarkStart w:id="20" w:name="摘要"/>
    <w:p>
      <w:pPr>
        <w:pStyle w:val="Heading1"/>
        <w:jc w:val="left"/>
      </w:pPr>
      <w:r>
        <w:t xml:space="preserve">摘要</w:t>
      </w:r>
    </w:p>
    <w:p>
      <w:pPr>
        <w:pStyle w:val="FirstParagraph"/>
        <w:spacing w:line="300" w:lineRule="auto" w:before="0" w:after="0"/>
        <w:ind w:firstLine="420"/>
        <w:jc w:val="both"/>
      </w:pPr>
      <w:r>
        <w:rPr>
          <w:rFonts w:ascii="Times New Roman" w:hAnsi="Times New Roman" w:eastAsia="宋体"/>
          <w:color w:val="000000"/>
          <w:sz w:val="21"/>
        </w:rPr>
        <w:t xml:space="preserve">视觉-语言-动作（Vision-Language-Action，VLA）模型在机器人操作中展现出较强的任务泛化能力，但其动作输出主要由数据驱动策略生成，通常缺乏对碰撞距离与接触冲击等物理安全量的显式约束。代表性的推理阶段安全层多围绕几何避障构建，而抓取—放置任务同时包含需要保持空间间隔的转运过程和允许乃至要求接触发生的下抓过程，单一距离约束难以兼顾二者。针对这一问题，本文提出阶段感知约束执行框架 PACE（Phase-Aware Constraint Enforcement），在不改变 π0 内部模型结构与动作生成算法的前提下，于动作执行端设置几何避障与接触调节两个并列模块。几何避障模块采用胶囊体近似、最近距离估计、运动增量投影和有界规避分量修正 VLA 输出动作；接触调节模块根据接触力构造各向异性顺应方向，并分别采用负载相关增益的离散增量映射与质量—阻尼参考动力学调节接触载荷。MuJoCo 螺丝刀拾放任务上的 12 组随机初始化消融显示，在有障碍且不启用接触调节的条件下，加入几何避障后任务成功率由 62% 提升至 95%，障碍物碰倒率由 92% 降至 1%；在同时启用几何避障与接触调节的两种完整配置中，对应上述两种接触调节方式的碰倒率分别为 12% 和 9%，平均接触冲量分别为 29.38 N·s 和 25.52 N·s，相较无约束配置的 159.54 N·s 分别降低 81.6% 和 84.0%，对应任务成功率为 64% 和 77%。结果表明，几何避障与接触调节能够分别抑制空间干涉和接触累积载荷，但联合配置需要在任务完成、障碍规避与执行负载之间进行权衡。</w:t>
      </w:r>
    </w:p>
    <w:bookmarkEnd w:id="20"/>
    <w:bookmarkStart w:id="21" w:name="引言"/>
    <w:p>
      <w:pPr>
        <w:pStyle w:val="Heading1"/>
        <w:jc w:val="left"/>
      </w:pPr>
      <w:r>
        <w:t xml:space="preserve">1 引言</w:t>
      </w:r>
    </w:p>
    <w:p>
      <w:pPr>
        <w:pStyle w:val="FirstParagraph"/>
        <w:spacing w:line="300" w:lineRule="auto" w:before="0" w:after="0"/>
        <w:ind w:firstLine="420"/>
        <w:jc w:val="both"/>
      </w:pPr>
      <w:r>
        <w:rPr>
          <w:rFonts w:ascii="Times New Roman" w:hAnsi="Times New Roman" w:eastAsia="宋体"/>
          <w:color w:val="000000"/>
          <w:sz w:val="21"/>
        </w:rPr>
        <w:t xml:space="preserve">视觉-语言-动作（Vision-Language-Action，VLA）模型通过统一视觉感知、语言理解与动作生成，为通用机器人操作提供了端到端的策略范式。RT-2[4]、OpenVLA[16]、Octo[18] 以及 π0[3] 等工作持续提升了模型在多任务操作与指令泛化方面的能力，其中 π0 采用流匹配动作专家生成连续动作，为复杂操作提供了较平滑的动作先验。</w:t>
      </w:r>
    </w:p>
    <w:p>
      <w:pPr>
        <w:pStyle w:val="BodyText"/>
        <w:spacing w:line="300" w:lineRule="auto" w:before="0" w:after="0"/>
        <w:ind w:firstLine="420"/>
        <w:jc w:val="both"/>
      </w:pPr>
      <w:r>
        <w:rPr>
          <w:rFonts w:ascii="Times New Roman" w:hAnsi="Times New Roman" w:eastAsia="宋体"/>
          <w:color w:val="000000"/>
          <w:sz w:val="21"/>
        </w:rPr>
        <w:t xml:space="preserve">然而，任务泛化并不等价于物理安全。VLA 的训练目标主要围绕任务完成与动作模仿，既不显式限制机械臂与障碍物之间的几何间隔，也不约束接触瞬间的冲击载荷。因此在训练分布之外或出现意外障碍时，输出动作可能仍朝任务目标推进，同时产生碰撞或较大接触冲击，进而损伤末端工具、被操作物体乃至机器人机构[7,8]。</w:t>
      </w:r>
    </w:p>
    <w:p>
      <w:pPr>
        <w:pStyle w:val="BodyText"/>
        <w:spacing w:line="300" w:lineRule="auto" w:before="0" w:after="0"/>
        <w:ind w:firstLine="420"/>
        <w:jc w:val="both"/>
      </w:pPr>
      <w:r>
        <w:rPr>
          <w:rFonts w:ascii="Times New Roman" w:hAnsi="Times New Roman" w:eastAsia="宋体"/>
          <w:color w:val="000000"/>
          <w:sz w:val="21"/>
        </w:rPr>
        <w:t xml:space="preserve">针对这一问题，现有方法可分为训练阶段约束与推理阶段约束两类（详见第 2 节）。后者不改变 VLA 内部的动作生成流程，而是在策略输出与执行器之间引入独立安全层，更适合已有模型的即插即用部署，VLSA/AEGIS[8] 即为其代表。</w:t>
      </w:r>
    </w:p>
    <w:p>
      <w:pPr>
        <w:pStyle w:val="BodyText"/>
        <w:spacing w:line="300" w:lineRule="auto" w:before="0" w:after="0"/>
        <w:ind w:firstLine="420"/>
        <w:jc w:val="both"/>
      </w:pPr>
      <w:r>
        <w:rPr>
          <w:rFonts w:ascii="Times New Roman" w:hAnsi="Times New Roman" w:eastAsia="宋体"/>
          <w:color w:val="000000"/>
          <w:sz w:val="21"/>
        </w:rPr>
        <w:t xml:space="preserve">但对于抓取—放置类操作，仅以几何间隔描述安全并不充分。搬运被抓取物时需要避免与环境障碍干涉，最近距离是直接的风险指标；而在下抓与建立抓取的过程中，末端需要主动接近并允许与支撑面发生接触，此时继续施加统一的非接触约束容易与任务可达性冲突，更值得关注的是接触力峰值与累积冲量，而非是否保持正的空间间隔。可见同一操作过程中并存两类性质不同的风险，适宜由不同的执行时约束分别处理。</w:t>
      </w:r>
    </w:p>
    <w:p>
      <w:pPr>
        <w:pStyle w:val="BodyText"/>
        <w:spacing w:line="300" w:lineRule="auto" w:before="0" w:after="0"/>
        <w:ind w:firstLine="420"/>
        <w:jc w:val="both"/>
      </w:pPr>
      <w:r>
        <w:rPr>
          <w:rFonts w:ascii="Times New Roman" w:hAnsi="Times New Roman" w:eastAsia="宋体"/>
          <w:color w:val="000000"/>
          <w:sz w:val="21"/>
        </w:rPr>
        <w:t xml:space="preserve">两类风险的动态特性亦不同：避障修正可依赖相对位姿在较低频率上局部调整，而接触冲击在更短时间尺度内变化，需在低层执行环中持续观测与调节。因此本文不将单一约束强制作用于整个动作过程，而是按可观测状态条件激活不同的保护机制，并使其分别作用于合适的时间尺度。</w:t>
      </w:r>
    </w:p>
    <w:p>
      <w:pPr>
        <w:pStyle w:val="BodyText"/>
        <w:spacing w:line="300" w:lineRule="auto" w:before="0" w:after="0"/>
        <w:ind w:firstLine="420"/>
        <w:jc w:val="both"/>
      </w:pPr>
      <w:r>
        <w:rPr>
          <w:rFonts w:ascii="Times New Roman" w:hAnsi="Times New Roman" w:eastAsia="宋体"/>
          <w:color w:val="000000"/>
          <w:sz w:val="21"/>
        </w:rPr>
        <w:t xml:space="preserve">基于上述考虑，本文提出 PACE（Phase-Aware Constraint Enforcement），一种面向现有 VLA 策略的插件式执行约束框架。PACE 保留 π0 输出的关节目标，仅在检测到相应风险时对动作进行局部修正。框架由几何避障模块与接触调节模块并列构成，二者面向不同安全对象、处于同等层级：前者依据胶囊体最近距离与分离法向修正可能导致障碍干涉的运动分量，其安全裕度随末端接近放置目标而收缩，以减轻目标邻近障碍物时的过度干预；后者在末端进入支撑面邻域后依据接触力施加各向异性顺应修正，并比较负载相关增益与质量—阻尼参考动力学两种导纳实现。两个模块均为闭式计算，经阻尼最小二乘（DLS）逆映射将笛卡尔修正转换至关节空间，无需改动基础 VLA 的内部结构与动作生成算法。</w:t>
      </w:r>
    </w:p>
    <w:p>
      <w:pPr>
        <w:pStyle w:val="BodyText"/>
        <w:spacing w:line="300" w:lineRule="auto" w:before="0" w:after="0"/>
        <w:ind w:firstLine="420"/>
        <w:jc w:val="both"/>
      </w:pPr>
      <w:r>
        <w:rPr>
          <w:rFonts w:ascii="Times New Roman" w:hAnsi="Times New Roman" w:eastAsia="宋体"/>
          <w:color w:val="000000"/>
          <w:sz w:val="21"/>
        </w:rPr>
        <w:t xml:space="preserve">在无相应风险时，两个模块的修正量为零或平滑衰减至零，执行指令恢复为基础 VLA 输出。该设计不替代 VLA 的任务规划能力，仅在执行端针对局部物理风险作必要修正。</w:t>
      </w:r>
    </w:p>
    <w:p>
      <w:pPr>
        <w:pStyle w:val="BodyText"/>
        <w:spacing w:line="300" w:lineRule="auto" w:before="0" w:after="0"/>
        <w:ind w:firstLine="420"/>
        <w:jc w:val="both"/>
      </w:pPr>
      <w:r>
        <w:rPr>
          <w:rFonts w:ascii="Times New Roman" w:hAnsi="Times New Roman" w:eastAsia="宋体"/>
          <w:color w:val="000000"/>
          <w:sz w:val="21"/>
        </w:rPr>
        <w:t xml:space="preserve">本文的主要贡献如下：</w:t>
      </w:r>
    </w:p>
    <w:p>
      <w:pPr>
        <w:pStyle w:val="BodyText"/>
        <w:spacing w:line="300" w:lineRule="auto" w:before="0" w:after="0"/>
        <w:ind w:firstLine="420"/>
        <w:jc w:val="both"/>
      </w:pPr>
      <w:r>
        <w:rPr>
          <w:rFonts w:ascii="Times New Roman" w:hAnsi="Times New Roman" w:eastAsia="宋体"/>
          <w:color w:val="000000"/>
          <w:sz w:val="21"/>
        </w:rPr>
        <w:t xml:space="preserve">（1）从操作过程中物理风险的差异出发，分析仅依赖几何间隔的推理阶段安全层在接触型操作中的适用边界，并将空间碰撞与接触冲击作为两类互补的执行安全对象。</w:t>
      </w:r>
    </w:p>
    <w:p>
      <w:pPr>
        <w:pStyle w:val="BodyText"/>
        <w:spacing w:line="300" w:lineRule="auto" w:before="0" w:after="0"/>
        <w:ind w:firstLine="420"/>
        <w:jc w:val="both"/>
      </w:pPr>
      <w:r>
        <w:rPr>
          <w:rFonts w:ascii="Times New Roman" w:hAnsi="Times New Roman" w:eastAsia="宋体"/>
          <w:color w:val="000000"/>
          <w:sz w:val="21"/>
        </w:rPr>
        <w:t xml:space="preserve">（2）提出插件式 PACE 框架，在不改动 π0 内部结构与动作生成算法的条件下，将胶囊体局部避障与各向异性导纳调节并列集成于执行端，其安全裕度与干预权重随任务状态自适应变化，以减少过度修正对任务可达性的影响。</w:t>
      </w:r>
    </w:p>
    <w:p>
      <w:pPr>
        <w:pStyle w:val="BodyText"/>
        <w:spacing w:line="300" w:lineRule="auto" w:before="0" w:after="0"/>
        <w:ind w:firstLine="420"/>
        <w:jc w:val="both"/>
      </w:pPr>
      <w:r>
        <w:rPr>
          <w:rFonts w:ascii="Times New Roman" w:hAnsi="Times New Roman" w:eastAsia="宋体"/>
          <w:color w:val="000000"/>
          <w:sz w:val="21"/>
        </w:rPr>
        <w:t xml:space="preserve">（3）在 MuJoCo 螺丝刀拾放任务上完成 12 组随机初始化消融。有障碍且关闭接触调节时，启用几何避障使 SR 由 62% 升至 95%、CR 由 92% 降至 1%；两模块同时启用时，负载相关增益实现使平均接触冲量较无约束配置降低 81.6%（CR 12%，SR 64%），质量—阻尼实现降低 84.0%（CR 9%，SR 77%）。</w:t>
      </w:r>
    </w:p>
    <w:bookmarkEnd w:id="21"/>
    <w:bookmarkStart w:id="22" w:name="相关工作"/>
    <w:p>
      <w:pPr>
        <w:pStyle w:val="Heading1"/>
        <w:jc w:val="left"/>
      </w:pPr>
      <w:r>
        <w:t xml:space="preserve">2 相关工作</w:t>
      </w:r>
    </w:p>
    <w:p>
      <w:pPr>
        <w:pStyle w:val="FirstParagraph"/>
        <w:spacing w:line="300" w:lineRule="auto" w:before="0" w:after="0"/>
        <w:ind w:firstLine="420"/>
        <w:jc w:val="both"/>
      </w:pPr>
      <w:r>
        <w:rPr>
          <w:rFonts w:ascii="Times New Roman" w:hAnsi="Times New Roman" w:eastAsia="宋体"/>
          <w:color w:val="000000"/>
          <w:sz w:val="21"/>
        </w:rPr>
        <w:t xml:space="preserve">视觉-语言-动作模型。VLA 模型通过联合建模视觉观测、自然语言指令与机器人动作，将高层语义理解直接映射到低层操作行为。RT-2[4]、OpenVLA[16] 与 Octo[18] 分别从大规模视觉语言预训练、开放模型与通用策略学习等方向推动了这一范式的发展；π0[3] 则采用流匹配动作专家生成连续动作，π0.5[13] 进一步扩展了开放世界泛化能力。本文采用 π0 作为基础策略，主要利用其连续动作输出作为基础操作指令，并在其外部执行链上附加物理安全修正，而不改变 VLA 内部的动作生成算法。</w:t>
      </w:r>
    </w:p>
    <w:p>
      <w:pPr>
        <w:pStyle w:val="BodyText"/>
        <w:spacing w:line="300" w:lineRule="auto" w:before="0" w:after="0"/>
        <w:ind w:firstLine="420"/>
        <w:jc w:val="both"/>
      </w:pPr>
      <w:r>
        <w:rPr>
          <w:rFonts w:ascii="Times New Roman" w:hAnsi="Times New Roman" w:eastAsia="宋体"/>
          <w:color w:val="000000"/>
          <w:sz w:val="21"/>
        </w:rPr>
        <w:t xml:space="preserve">VLA 安全增强。现有 VLA 安全研究大体可分为训练阶段安全增强与执行阶段安全约束两类[15]。训练阶段方法通过安全数据、奖励或约束目标直接改变策略学习过程，例如 SafeVLA[21] 等工作将安全性纳入模型优化；这类方法能够从策略层面影响动作分布，但需要参与模型训练或适配过程。另一类方法则在已有 VLA 输出之后增加独立的安全处理机制，其优势在于可以保持原有视觉、语言与动作生成流程不变。PACE 属于后一类，其关注点不是重新设计 VLA 本体，而是对已经生成的 VLA 输出动作进行执行时修正。</w:t>
      </w:r>
    </w:p>
    <w:p>
      <w:pPr>
        <w:pStyle w:val="BodyText"/>
        <w:spacing w:line="300" w:lineRule="auto" w:before="0" w:after="0"/>
        <w:ind w:firstLine="420"/>
        <w:jc w:val="both"/>
      </w:pPr>
      <w:r>
        <w:rPr>
          <w:rFonts w:ascii="Times New Roman" w:hAnsi="Times New Roman" w:eastAsia="宋体"/>
          <w:color w:val="000000"/>
          <w:sz w:val="21"/>
        </w:rPr>
        <w:t xml:space="preserve">几何安全约束。控制屏障函数（CBF）通过构造安全集并对控制输入施加不等式约束，为机器人碰撞规避提供了系统化工具[1,2,5]。VLSA/AEGIS[8] 将这一思想引入 VLA 推理链路：首先利用视觉语言模块识别任务相关障碍物并恢复空间几何信息，随后通过 CBF-QP 对 VLA 输出动作进行最小修正，以兼顾任务执行与碰撞约束。该类方法主要从几何间隔角度定义安全边界，适合处理需要保持非接触距离的障碍规避问题；但在末端必须主动接近并接触支撑面的下抓阶段，间隔约束与任务可达性存在冲突，此时决定硬件损伤风险的是接触力峰值与累积冲量而非空间间隔。PACE 的几何避障模块同样位于动作执行端，但采用胶囊体最近距离、运动增量投影与有界规避分量完成局部修正，并通过状态相关安全裕度与目标邻域衰减降低接近放置目标时的过度干预。</w:t>
      </w:r>
    </w:p>
    <w:p>
      <w:pPr>
        <w:pStyle w:val="BodyText"/>
        <w:spacing w:line="300" w:lineRule="auto" w:before="0" w:after="0"/>
        <w:ind w:firstLine="420"/>
        <w:jc w:val="both"/>
      </w:pPr>
      <w:r>
        <w:rPr>
          <w:rFonts w:ascii="Times New Roman" w:hAnsi="Times New Roman" w:eastAsia="宋体"/>
          <w:color w:val="000000"/>
          <w:sz w:val="21"/>
        </w:rPr>
        <w:t xml:space="preserve">能量引导与反应式避障。OmniGuide[19] 将避障、语义定位等要求表示为可微能量场，并利用可微运动学将引导梯度作用于生成轨迹。经典人工势场方法[14] 则通过吸引—排斥场实现实时反应式避障，但可能出现局部极小、振荡以及目标邻近障碍物时的 GNRON 问题[6,17]。与全局重新规划不同，本文将 VLA 已生成的输出动作视为任务意图，只在局部风险区域对运动方向进行有限修正。因此，几何避障模块采用状态相关安全裕度和目标衰减权重，使障碍规避在远离目标时保持足够干预，而在接近放置区域时逐步减弱修正并恢复基础 VLA 输出。</w:t>
      </w:r>
    </w:p>
    <w:p>
      <w:pPr>
        <w:pStyle w:val="BodyText"/>
        <w:spacing w:line="300" w:lineRule="auto" w:before="0" w:after="0"/>
        <w:ind w:firstLine="420"/>
        <w:jc w:val="both"/>
      </w:pPr>
      <w:r>
        <w:rPr>
          <w:rFonts w:ascii="Times New Roman" w:hAnsi="Times New Roman" w:eastAsia="宋体"/>
          <w:color w:val="000000"/>
          <w:sz w:val="21"/>
        </w:rPr>
        <w:t xml:space="preserve">力感知与顺应操作。随着 VLA 向接触丰富型任务扩展，力和力矩反馈逐渐被引入策略建模。ForceVLA[10]、TA-VLA[11] 与 FD-VLA[12]分别从力感知混合专家、扭矩信息以及力信息蒸馏等方向增强策略对物理交互的表征；上述力感知策略需要相应的训练或适配。CompliantVLA-adaptor[9] 则通过外部适配器，结合视觉语言任务语境与实时力/力矩反馈调节刚度和阻尼。PACE 同样关注执行端的顺应调节，但直接根据实时接触力构造各向异性的单步运动增量修正，以降低接触建立后的过大载荷，并可与冻结策略组合。该模块与几何避障模块处于同等层级，分别对应接触风险与空间干涉风险，两者共同构成 PACE 的执行时安全约束。</w:t>
      </w:r>
    </w:p>
    <w:p>
      <w:pPr>
        <w:pStyle w:val="BodyText"/>
        <w:spacing w:line="300" w:lineRule="auto" w:before="0" w:after="0"/>
        <w:ind w:firstLine="420"/>
        <w:jc w:val="both"/>
      </w:pPr>
      <w:r>
        <w:rPr>
          <w:rFonts w:ascii="Times New Roman" w:hAnsi="Times New Roman" w:eastAsia="宋体"/>
          <w:color w:val="000000"/>
          <w:sz w:val="21"/>
        </w:rPr>
        <w:t xml:space="preserve">总体而言，现有研究已经分别从策略训练、几何约束、能量引导以及力感知控制等方向提升 VLA 的物理安全性。本文并不将其中某一类机制视为另一类机制的替代，而是关注抓取—放置任务中同时存在的两种物理风险：一类来源于携带工具运动时的障碍干涉，另一类来源于接近支撑面并建立接触时的冲击。PACE 因此采用两个并列的执行时模块分别处理上述风险，并尽量保持基础 VLA 的视觉—语言理解与动作生成过程不变。</w:t>
      </w:r>
    </w:p>
    <w:bookmarkEnd w:id="22"/>
    <w:bookmarkStart w:id="23" w:name="问题建模"/>
    <w:p>
      <w:pPr>
        <w:pStyle w:val="Heading1"/>
        <w:jc w:val="left"/>
      </w:pPr>
      <w:r>
        <w:t xml:space="preserve">3 问题建模</w:t>
      </w:r>
    </w:p>
    <w:p>
      <w:pPr>
        <w:pStyle w:val="FirstParagraph"/>
        <w:spacing w:line="300" w:lineRule="auto" w:before="0" w:after="0"/>
        <w:ind w:firstLine="420"/>
        <w:jc w:val="both"/>
      </w:pPr>
      <w:r>
        <w:rPr>
          <w:rFonts w:ascii="Times New Roman" w:hAnsi="Times New Roman" w:eastAsia="宋体"/>
          <w:color w:val="000000"/>
          <w:sz w:val="21"/>
        </w:rPr>
        <w:t xml:space="preserve">系统与任务。本文考虑一台 6 自由度机械臂及平行夹爪，由位置控制器跟踪关节目标。机器人接收外部相机图像、腕部相机图像、本体状态和语言指令，完成“抓取螺丝刀并放入储物盒”的任务。启用障碍物时，支柱位于物体与储物盒之间，使VLA 输出对应的转运轨迹存在碰撞风险。</w:t>
      </w:r>
    </w:p>
    <w:p>
      <w:pPr>
        <w:pStyle w:val="BodyText"/>
        <w:spacing w:line="300" w:lineRule="auto" w:before="0" w:after="0"/>
        <w:ind w:firstLine="420"/>
        <w:jc w:val="both"/>
      </w:pPr>
      <w:r>
        <w:rPr>
          <w:rFonts w:ascii="Times New Roman" w:hAnsi="Times New Roman" w:eastAsia="宋体"/>
          <w:color w:val="000000"/>
          <w:sz w:val="21"/>
        </w:rPr>
        <w:t xml:space="preserve">基础策略。π0 根据当前多模态观测输出长度为</w:t>
      </w:r>
      <w:r>
        <w:rPr>
          <w:rFonts w:ascii="Times New Roman" w:hAnsi="Times New Roman" w:eastAsia="宋体"/>
          <w:color w:val="000000"/>
          <w:sz w:val="21"/>
        </w:rPr>
        <w:t xml:space="preserve"> </w:t>
      </w:r>
      <m:oMath>
        <m:r>
          <m:t>H</m:t>
        </m:r>
      </m:oMath>
      <w:r>
        <w:rPr>
          <w:rFonts w:ascii="Times New Roman" w:hAnsi="Times New Roman" w:eastAsia="宋体"/>
          <w:color w:val="000000"/>
          <w:sz w:val="21"/>
        </w:rPr>
        <w:t xml:space="preserve"> </w:t>
      </w:r>
      <w:r>
        <w:rPr>
          <w:rFonts w:ascii="Times New Roman" w:hAnsi="Times New Roman" w:eastAsia="宋体"/>
          <w:color w:val="000000"/>
          <w:sz w:val="21"/>
        </w:rPr>
        <w:t xml:space="preserve">的动作块，其中前六维为绝对关节目标，夹爪维度用于控制开合。对任一动作</w:t>
      </w:r>
      <w:r>
        <w:rPr>
          <w:rFonts w:ascii="Times New Roman" w:hAnsi="Times New Roman" w:eastAsia="宋体"/>
          <w:color w:val="000000"/>
          <w:sz w:val="21"/>
        </w:rPr>
        <w:t xml:space="preserve"> </w:t>
      </w:r>
      <m:oMath>
        <m:r>
          <m:t>a</m:t>
        </m:r>
      </m:oMath>
      <w:r>
        <w:rPr>
          <w:rFonts w:ascii="Times New Roman" w:hAnsi="Times New Roman" w:eastAsia="宋体"/>
          <w:color w:val="000000"/>
          <w:sz w:val="21"/>
        </w:rPr>
        <w:t xml:space="preserve">，本文将其相对于当前关节状态</w:t>
      </w:r>
      <w:r>
        <w:rPr>
          <w:rFonts w:ascii="Times New Roman" w:hAnsi="Times New Roman" w:eastAsia="宋体"/>
          <w:color w:val="000000"/>
          <w:sz w:val="21"/>
        </w:rPr>
        <w:t xml:space="preserve"> </w:t>
      </w:r>
      <m:oMath>
        <m:r>
          <m:t>q</m:t>
        </m:r>
      </m:oMath>
      <w:r>
        <w:rPr>
          <w:rFonts w:ascii="Times New Roman" w:hAnsi="Times New Roman" w:eastAsia="宋体"/>
          <w:color w:val="000000"/>
          <w:sz w:val="21"/>
        </w:rPr>
        <w:t xml:space="preserve"> </w:t>
      </w:r>
      <w:r>
        <w:rPr>
          <w:rFonts w:ascii="Times New Roman" w:hAnsi="Times New Roman" w:eastAsia="宋体"/>
          <w:color w:val="000000"/>
          <w:sz w:val="21"/>
        </w:rPr>
        <w:t xml:space="preserve">的差值</w:t>
      </w:r>
    </w:p>
    <w:p>
      <w:pPr>
        <w:pStyle w:val="BodyText"/>
        <w:spacing w:before="60" w:after="60"/>
        <w:jc w:val="center"/>
      </w:pPr>
      <m:oMathPara>
        <m:oMathParaPr>
          <m:jc m:val="center"/>
        </m:oMathParaPr>
        <m:oMath>
          <m:r>
            <m:t>Δ</m:t>
          </m:r>
          <m:sSup>
            <m:e>
              <m:r>
                <m:t>q</m:t>
              </m:r>
            </m:e>
            <m:sup>
              <m:r>
                <m:rPr>
                  <m:sty m:val="p"/>
                </m:rPr>
                <m:t>v</m:t>
              </m:r>
              <m:r>
                <m:rPr>
                  <m:sty m:val="p"/>
                </m:rPr>
                <m:t>l</m:t>
              </m:r>
              <m:r>
                <m:rPr>
                  <m:sty m:val="p"/>
                </m:rPr>
                <m:t>a</m:t>
              </m:r>
            </m:sup>
          </m:sSup>
          <m:r>
            <m:rPr>
              <m:sty m:val="p"/>
            </m:rPr>
            <m:t>=</m:t>
          </m:r>
          <m:sSub>
            <m:e>
              <m:r>
                <m:t>a</m:t>
              </m:r>
            </m:e>
            <m:sub>
              <m:r>
                <m:t>1</m:t>
              </m:r>
              <m:r>
                <m:rPr>
                  <m:sty m:val="p"/>
                </m:rPr>
                <m:t>:</m:t>
              </m:r>
              <m:r>
                <m:t>6</m:t>
              </m:r>
            </m:sub>
          </m:sSub>
          <m:r>
            <m:rPr>
              <m:sty m:val="p"/>
            </m:rPr>
            <m:t>−</m:t>
          </m:r>
          <m:r>
            <m:t>q</m:t>
          </m:r>
        </m:oMath>
      </m:oMathPara>
    </w:p>
    <w:p>
      <w:pPr>
        <w:pStyle w:val="FirstParagraph"/>
        <w:spacing w:line="300" w:lineRule="auto" w:before="0" w:after="0"/>
        <w:ind w:firstLine="420"/>
        <w:jc w:val="both"/>
      </w:pPr>
      <w:r>
        <w:rPr>
          <w:rFonts w:ascii="Times New Roman" w:hAnsi="Times New Roman" w:eastAsia="宋体"/>
          <w:color w:val="000000"/>
          <w:sz w:val="21"/>
        </w:rPr>
        <w:t xml:space="preserve">视为 VLA 输出的单步关节位移。PACE 不改变 π0 的视觉、语言与动作生成过程，仅在动作送入位置控制器前进行执行时修正。</w:t>
      </w:r>
    </w:p>
    <w:p>
      <w:pPr>
        <w:pStyle w:val="BodyText"/>
        <w:spacing w:line="300" w:lineRule="auto" w:before="0" w:after="0"/>
        <w:ind w:firstLine="420"/>
        <w:jc w:val="both"/>
      </w:pPr>
      <w:r>
        <w:rPr>
          <w:rFonts w:ascii="Times New Roman" w:hAnsi="Times New Roman" w:eastAsia="宋体"/>
          <w:color w:val="000000"/>
          <w:sz w:val="21"/>
        </w:rPr>
        <w:t xml:space="preserve">安全对象。本文同时考虑两类物理风险：一是机械臂远端及被抓取工具与环境障碍物之间的空间干涉，以胶囊体最小表面距离</w:t>
      </w:r>
      <w:r>
        <w:rPr>
          <w:rFonts w:ascii="Times New Roman" w:hAnsi="Times New Roman" w:eastAsia="宋体"/>
          <w:color w:val="000000"/>
          <w:sz w:val="21"/>
        </w:rPr>
        <w:t xml:space="preserve"> </w:t>
      </w:r>
      <m:oMath>
        <m:sSub>
          <m:e>
            <m:r>
              <m:t>d</m:t>
            </m:r>
          </m:e>
          <m:sub>
            <m:r>
              <m:rPr>
                <m:sty m:val="p"/>
              </m:rPr>
              <m:t>min</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表征；二是末端接近支撑面并建立接触时产生的冲击，以合成接触力的峰值和时间积分（接触冲量）表征。两类风险由可观测状态分别触发，不再对整个任务强制采用单一的阶段划分或统一距离约束。</w:t>
      </w:r>
    </w:p>
    <w:p>
      <w:pPr>
        <w:pStyle w:val="BodyText"/>
        <w:spacing w:line="300" w:lineRule="auto" w:before="0" w:after="0"/>
        <w:ind w:firstLine="420"/>
        <w:jc w:val="both"/>
      </w:pPr>
      <w:r>
        <w:rPr>
          <w:rFonts w:ascii="Times New Roman" w:hAnsi="Times New Roman" w:eastAsia="宋体"/>
          <w:color w:val="000000"/>
          <w:sz w:val="21"/>
        </w:rPr>
        <w:t xml:space="preserve">目标。给定基础策略产生的 VLA 输出动作，PACE 仅在检测到相应风险时生成附加修正，使执行动作在降低障碍干涉和接触冲击的同时尽量保持原始任务意图；当风险条件不满足时，修正量回到零或平滑衰减至零，系统恢复为基础策略的直接执行。</w:t>
      </w:r>
    </w:p>
    <w:bookmarkEnd w:id="23"/>
    <w:bookmarkStart w:id="34" w:name="方法pace"/>
    <w:p>
      <w:pPr>
        <w:pStyle w:val="Heading1"/>
        <w:jc w:val="left"/>
      </w:pPr>
      <w:r>
        <w:t xml:space="preserve">4 方法：PACE</w:t>
      </w:r>
    </w:p>
    <w:bookmarkStart w:id="27" w:name="概述"/>
    <w:p>
      <w:pPr>
        <w:pStyle w:val="Heading2"/>
        <w:jc w:val="left"/>
      </w:pPr>
      <w:r>
        <w:t xml:space="preserve">4.1 概述</w:t>
      </w:r>
    </w:p>
    <w:p>
      <w:pPr>
        <w:pStyle w:val="FirstParagraph"/>
        <w:spacing w:line="300" w:lineRule="auto" w:before="0" w:after="0"/>
        <w:ind w:firstLine="420"/>
        <w:jc w:val="both"/>
      </w:pPr>
      <w:r>
        <w:rPr>
          <w:rFonts w:ascii="Times New Roman" w:hAnsi="Times New Roman" w:eastAsia="宋体"/>
          <w:color w:val="000000"/>
          <w:sz w:val="21"/>
        </w:rPr>
        <w:t xml:space="preserve">PACE 在基础 VLA 动作之后设置两个并列的执行时修正模块：几何避障模块与接触调节模块。前者依据胶囊体最近距离和分离法向修正可能导致障碍干涉的运动分量，后者依据 TCP 高度与接触力调节末端的单步接近增量和顺应运动。两个模块面向不同物理风险，在功能上处于同等层级，并共享同一 VLA 输出动作作为参考。</w:t>
      </w:r>
    </w:p>
    <w:p>
      <w:pPr>
        <w:pStyle w:val="BodyText"/>
        <w:spacing w:line="300" w:lineRule="auto" w:before="0" w:after="0"/>
        <w:ind w:firstLine="420"/>
        <w:jc w:val="both"/>
      </w:pPr>
      <w:r>
        <w:rPr>
          <w:rFonts w:ascii="Times New Roman" w:hAnsi="Times New Roman" w:eastAsia="宋体"/>
          <w:color w:val="000000"/>
          <w:sz w:val="21"/>
        </w:rPr>
        <w:t xml:space="preserve">本文所称“阶段感知（Phase-Aware）”并非预先标注抓取、转运和放置等离散阶段，也不依赖额外的阶段分类器，而是指利用执行过程中可直接观测的风险状态隐式区分约束需求：工具/TCP 高度、障碍物最小距离和接触力分别决定几何避障与接触调节是否介入。因而，同一基础策略在自由空间运动、障碍物邻域和接触邻域中会自动采用不同的执行约束；当相应风险消失时，修正量置零或平滑释放。</w:t>
      </w:r>
    </w:p>
    <w:p>
      <w:pPr>
        <w:pStyle w:val="BodyText"/>
        <w:spacing w:line="300" w:lineRule="auto" w:before="0" w:after="0"/>
        <w:ind w:firstLine="420"/>
        <w:jc w:val="both"/>
      </w:pPr>
      <w:r>
        <w:rPr>
          <w:rFonts w:ascii="Times New Roman" w:hAnsi="Times New Roman" w:eastAsia="宋体"/>
          <w:color w:val="000000"/>
          <w:sz w:val="21"/>
        </w:rPr>
        <w:t xml:space="preserve">两类修正均先在笛卡尔空间构造，再通过阻尼最小二乘（DLS）逆映射到关节空间并叠加到 π0 给出的关节目标。几何避障模块在障碍距离进入安全裕度时介入；接触调节模块在末端进入支撑面邻域时介入。风险消失后，相应修正立即置零或按设定系数平滑释放，因此 PACE 不需要重写基础 VLA 的内部动作生成算法。</w:t>
      </w:r>
    </w:p>
    <w:p>
      <w:pPr>
        <w:pStyle w:val="BodyText"/>
        <w:spacing w:line="300" w:lineRule="auto" w:before="0" w:after="0"/>
        <w:ind w:firstLine="420"/>
        <w:jc w:val="both"/>
      </w:pPr>
      <w:r>
        <w:rPr>
          <w:rFonts w:ascii="Times New Roman" w:hAnsi="Times New Roman" w:eastAsia="宋体"/>
          <w:color w:val="000000"/>
          <w:sz w:val="21"/>
        </w:rPr>
        <w:t xml:space="preserve">实现上，π0 每次返回一个动作块，动作指令按固定周期更新；每个动作在更高频的 MuJoCo 子步中执行。几何避障在动作更新时计算一次，接触调节则在低层子步中持续更新。该多速率实现仅用于匹配两类风险的动态特性，不改变两个模块在 PACE 中的并列关系。整体结构见图 1，具体计算分别在第 4.2 节和第 4.3 节给出。</w:t>
      </w:r>
    </w:p>
    <w:p>
      <w:pPr>
        <w:pStyle w:val="CaptionedFigure"/>
        <w:spacing w:before="100" w:after="40"/>
        <w:jc w:val="center"/>
      </w:pPr>
      <w:r>
        <w:rPr>
          <w:rFonts w:ascii="Times New Roman" w:hAnsi="Times New Roman" w:eastAsia="宋体"/>
          <w:color w:val="000000"/>
          <w:sz w:val="21"/>
        </w:rPr>
        <w:drawing>
          <wp:inline>
            <wp:extent cx="5334000" cy="3556000"/>
            <wp:effectExtent b="0" l="0" r="0" t="0"/>
            <wp:docPr descr="PACE 总体框架" title="" id="25" name="Picture"/>
            <a:graphic>
              <a:graphicData uri="http://schemas.openxmlformats.org/drawingml/2006/picture">
                <pic:pic>
                  <pic:nvPicPr>
                    <pic:cNvPr descr="paper_assets/figures/fig1_pace_framework.png" id="26" name="Picture"/>
                    <pic:cNvPicPr>
                      <a:picLocks noChangeArrowheads="1" noChangeAspect="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spacing w:before="40" w:after="120"/>
        <w:jc w:val="center"/>
      </w:pPr>
      <w:r>
        <w:rPr>
          <w:rFonts w:ascii="Times New Roman" w:hAnsi="Times New Roman" w:eastAsia="宋体"/>
          <w:color w:val="000000"/>
          <w:sz w:val="21"/>
        </w:rPr>
        <w:t xml:space="preserve">图 1 PACE 总体框架图</w:t>
      </w:r>
    </w:p>
    <w:bookmarkEnd w:id="27"/>
    <w:bookmarkStart w:id="28" w:name="接触调节模块"/>
    <w:p>
      <w:pPr>
        <w:pStyle w:val="Heading2"/>
        <w:jc w:val="left"/>
      </w:pPr>
      <w:r>
        <w:t xml:space="preserve">4.2 接触调节模块</w:t>
      </w:r>
    </w:p>
    <w:p>
      <w:pPr>
        <w:pStyle w:val="FirstParagraph"/>
        <w:spacing w:line="300" w:lineRule="auto" w:before="0" w:after="0"/>
        <w:ind w:firstLine="420"/>
        <w:jc w:val="both"/>
      </w:pPr>
      <w:r>
        <w:rPr>
          <w:rFonts w:ascii="Times New Roman" w:hAnsi="Times New Roman" w:eastAsia="宋体"/>
          <w:color w:val="000000"/>
          <w:sz w:val="21"/>
        </w:rPr>
        <w:t xml:space="preserve">接触调节模块用于限制末端在支撑面邻域内的过大接触载荷。模块在 TCP 高度低于设定阈值时参与执行，每个低层子步读取与末端远端刚体或被抓取工具相关的接触力，并将接触坐标系中的力转换到世界坐标系后累加。为降低夹爪闭合和工具摩擦产生的切向力对抓取稳定性的影响，本文对切向分量施加较小权重，并设置力死区。</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f</m:t>
            </m:r>
          </m:e>
          <m:sub>
            <m:r>
              <m:t>c</m:t>
            </m:r>
          </m:sub>
        </m:sSub>
        <m:r>
          <m:rPr>
            <m:sty m:val="p"/>
          </m:rPr>
          <m:t>=</m:t>
        </m:r>
        <m:nary>
          <m:naryPr>
            <m:chr m:val="∑"/>
            <m:limLoc m:val="undOvr"/>
            <m:subHide m:val="off"/>
            <m:supHide m:val="on"/>
          </m:naryPr>
          <m:sub>
            <m:r>
              <m:t>i</m:t>
            </m:r>
            <m:r>
              <m:rPr>
                <m:sty m:val="p"/>
              </m:rPr>
              <m:t>∈</m:t>
            </m:r>
            <m:r>
              <m:rPr>
                <m:sty m:val="p"/>
                <m:scr m:val="script"/>
              </m:rPr>
              <m:t>K</m:t>
            </m:r>
          </m:sub>
          <m:sup>
            <m:r>
              <m:t>​</m:t>
            </m:r>
          </m:sup>
          <m:e>
            <m:sSubSup>
              <m:e>
                <m:r>
                  <m:t>R</m:t>
                </m:r>
              </m:e>
              <m:sub>
                <m:r>
                  <m:t>i</m:t>
                </m:r>
              </m:sub>
              <m:sup>
                <m:r>
                  <m:rPr>
                    <m:sty m:val="p"/>
                    <m:scr m:val="sans-serif"/>
                  </m:rPr>
                  <m:t>T</m:t>
                </m:r>
              </m:sup>
            </m:sSubSup>
          </m:e>
        </m:nary>
        <m:sSub>
          <m:e>
            <m:r>
              <m:t>f</m:t>
            </m:r>
          </m:e>
          <m:sub>
            <m:r>
              <m:t>i</m:t>
            </m:r>
          </m:sub>
        </m:sSub>
      </m:oMath>
      <w:r>
        <w:rPr>
          <w:rFonts w:ascii="Times New Roman" w:hAnsi="Times New Roman" w:eastAsia="宋体"/>
          <w:color w:val="000000"/>
          <w:sz w:val="21"/>
        </w:rPr>
        <w:tab/>
        <w:t>(1)</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e</m:t>
            </m:r>
          </m:e>
          <m:sub>
            <m:r>
              <m:t>f</m:t>
            </m:r>
          </m:sub>
        </m:sSub>
        <m:r>
          <m:rPr>
            <m:sty m:val="p"/>
          </m:rPr>
          <m:t>=</m:t>
        </m:r>
        <m:r>
          <m:rPr>
            <m:sty m:val="p"/>
          </m:rPr>
          <m:t>max</m:t>
        </m:r>
        <m:r>
          <m:t>​</m:t>
        </m:r>
        <m:d>
          <m:dPr>
            <m:begChr m:val="("/>
            <m:endChr m:val=")"/>
            <m:sepChr m:val=""/>
            <m:grow/>
          </m:dPr>
          <m:e>
            <m:r>
              <m:rPr>
                <m:sty m:val="p"/>
              </m:rPr>
              <m:t>∥</m:t>
            </m:r>
            <m:sSub>
              <m:e>
                <m:r>
                  <m:t>f</m:t>
                </m:r>
              </m:e>
              <m:sub>
                <m:r>
                  <m:t>c</m:t>
                </m:r>
              </m:sub>
            </m:sSub>
            <m:r>
              <m:rPr>
                <m:sty m:val="p"/>
              </m:rPr>
              <m:t>∥</m:t>
            </m:r>
            <m:r>
              <m:rPr>
                <m:sty m:val="p"/>
              </m:rPr>
              <m:t>−</m:t>
            </m:r>
            <m:sSub>
              <m:e>
                <m:r>
                  <m:t>f</m:t>
                </m:r>
              </m:e>
              <m:sub>
                <m:r>
                  <m:t>d</m:t>
                </m:r>
              </m:sub>
            </m:sSub>
            <m:r>
              <m:rPr>
                <m:sty m:val="p"/>
              </m:rPr>
              <m:t>,</m:t>
            </m:r>
            <m:r>
              <m:t>0</m:t>
            </m:r>
          </m:e>
        </m:d>
      </m:oMath>
      <w:r>
        <w:rPr>
          <w:rFonts w:ascii="Times New Roman" w:hAnsi="Times New Roman" w:eastAsia="宋体"/>
          <w:color w:val="000000"/>
          <w:sz w:val="21"/>
        </w:rPr>
        <w:tab/>
        <w:t>(2a)</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n</m:t>
            </m:r>
          </m:e>
          <m:sub>
            <m:r>
              <m:t>f</m:t>
            </m:r>
          </m:sub>
        </m:sSub>
        <m:r>
          <m:rPr>
            <m:sty m:val="p"/>
          </m:rPr>
          <m:t>=</m:t>
        </m:r>
        <m:f>
          <m:fPr>
            <m:type m:val="bar"/>
          </m:fPr>
          <m:num>
            <m:r>
              <m:t>W</m:t>
            </m:r>
            <m:sSub>
              <m:e>
                <m:r>
                  <m:t>f</m:t>
                </m:r>
              </m:e>
              <m:sub>
                <m:r>
                  <m:t>c</m:t>
                </m:r>
              </m:sub>
            </m:sSub>
          </m:num>
          <m:den>
            <m:r>
              <m:rPr>
                <m:sty m:val="p"/>
              </m:rPr>
              <m:t>∥</m:t>
            </m:r>
            <m:r>
              <m:t>W</m:t>
            </m:r>
            <m:sSub>
              <m:e>
                <m:r>
                  <m:t>f</m:t>
                </m:r>
              </m:e>
              <m:sub>
                <m:r>
                  <m:t>c</m:t>
                </m:r>
              </m:sub>
            </m:sSub>
            <m:r>
              <m:rPr>
                <m:sty m:val="p"/>
              </m:rPr>
              <m:t>∥</m:t>
            </m:r>
            <m:r>
              <m:rPr>
                <m:sty m:val="p"/>
              </m:rPr>
              <m:t>+</m:t>
            </m:r>
            <m:r>
              <m:t>ε</m:t>
            </m:r>
          </m:den>
        </m:f>
      </m:oMath>
      <w:r>
        <w:rPr>
          <w:rFonts w:ascii="Times New Roman" w:hAnsi="Times New Roman" w:eastAsia="宋体"/>
          <w:color w:val="000000"/>
          <w:sz w:val="21"/>
        </w:rPr>
        <w:tab/>
        <w:t>(2b)</w:t>
      </w:r>
    </w:p>
    <w:p>
      <w:pPr>
        <w:pStyle w:val="FirstParagraph"/>
        <w:tabs>
          <w:tab w:pos="4535" w:val="center"/>
          <w:tab w:pos="9070" w:val="right"/>
        </w:tabs>
        <w:spacing w:before="60" w:after="60"/>
        <w:jc w:val="left"/>
      </w:pPr>
      <w:r>
        <w:rPr>
          <w:rFonts w:ascii="Times New Roman" w:hAnsi="Times New Roman" w:eastAsia="宋体"/>
          <w:color w:val="000000"/>
          <w:sz w:val="21"/>
        </w:rPr>
        <w:tab/>
      </w:r>
      <m:oMath>
        <m:r>
          <m:t>W</m:t>
        </m:r>
        <m:r>
          <m:rPr>
            <m:sty m:val="p"/>
          </m:rPr>
          <m:t>=</m:t>
        </m:r>
        <m:r>
          <m:rPr>
            <m:sty m:val="p"/>
          </m:rPr>
          <m:t>diag</m:t>
        </m:r>
        <m:d>
          <m:dPr>
            <m:begChr m:val="("/>
            <m:endChr m:val=")"/>
            <m:sepChr m:val=""/>
            <m:grow/>
          </m:dPr>
          <m:e>
            <m:sSub>
              <m:e>
                <m:r>
                  <m:t>w</m:t>
                </m:r>
              </m:e>
              <m:sub>
                <m:r>
                  <m:t>t</m:t>
                </m:r>
              </m:sub>
            </m:sSub>
            <m:r>
              <m:rPr>
                <m:sty m:val="p"/>
              </m:rPr>
              <m:t>,</m:t>
            </m:r>
            <m:sSub>
              <m:e>
                <m:r>
                  <m:t>w</m:t>
                </m:r>
              </m:e>
              <m:sub>
                <m:r>
                  <m:t>t</m:t>
                </m:r>
              </m:sub>
            </m:sSub>
            <m:r>
              <m:rPr>
                <m:sty m:val="p"/>
              </m:rPr>
              <m:t>,</m:t>
            </m:r>
            <m:r>
              <m:t>1</m:t>
            </m:r>
          </m:e>
        </m:d>
      </m:oMath>
      <w:r>
        <w:rPr>
          <w:rFonts w:ascii="Times New Roman" w:hAnsi="Times New Roman" w:eastAsia="宋体"/>
          <w:color w:val="000000"/>
          <w:sz w:val="21"/>
        </w:rPr>
        <w:tab/>
        <w:t>(2c)</w:t>
      </w:r>
    </w:p>
    <w:p>
      <w:pPr>
        <w:pStyle w:val="FirstParagraph"/>
        <w:spacing w:line="300" w:lineRule="auto" w:before="0" w:after="0"/>
        <w:ind w:firstLine="420"/>
        <w:jc w:val="both"/>
      </w:pPr>
      <w:r>
        <w:rPr>
          <w:rFonts w:ascii="Times New Roman" w:hAnsi="Times New Roman" w:eastAsia="宋体"/>
          <w:color w:val="000000"/>
          <w:sz w:val="21"/>
        </w:rPr>
        <w:t xml:space="preserve">其中，</w:t>
      </w:r>
      <m:oMath>
        <m:sSub>
          <m:e>
            <m:r>
              <m:t>f</m:t>
            </m:r>
          </m:e>
          <m:sub>
            <m:r>
              <m:t>c</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为合成接触力，</w:t>
      </w:r>
      <m:oMath>
        <m:sSub>
          <m:e>
            <m:r>
              <m:t>e</m:t>
            </m:r>
          </m:e>
          <m:sub>
            <m:r>
              <m:t>f</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为超过死区后的有效载荷，</w:t>
      </w:r>
      <m:oMath>
        <m:sSub>
          <m:e>
            <m:r>
              <m:t>n</m:t>
            </m:r>
          </m:e>
          <m:sub>
            <m:r>
              <m:t>f</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为各向异性顺应方向。该处理使接触修正主要沿支撑面法向产生，而保留大部分切向运动意图。</w:t>
      </w:r>
    </w:p>
    <w:p>
      <w:pPr>
        <w:pStyle w:val="BodyText"/>
        <w:spacing w:line="300" w:lineRule="auto" w:before="0" w:after="0"/>
        <w:ind w:firstLine="420"/>
        <w:jc w:val="both"/>
      </w:pPr>
      <w:r>
        <w:rPr>
          <w:rFonts w:ascii="Times New Roman" w:hAnsi="Times New Roman" w:eastAsia="宋体"/>
          <w:color w:val="000000"/>
          <w:sz w:val="21"/>
        </w:rPr>
        <w:t xml:space="preserve">在此基础上，本文设置两种同等地位的离散顺应实现进行比较。由于基础策略输出的是绝对关节目标，本文不将雅可比映射后的量解释为连续时间速度，而统一视为每次控制更新中的单步笛卡尔运动增量，记为</w:t>
      </w:r>
      <w:r>
        <w:rPr>
          <w:rFonts w:ascii="Times New Roman" w:hAnsi="Times New Roman" w:eastAsia="宋体"/>
          <w:color w:val="000000"/>
          <w:sz w:val="21"/>
        </w:rPr>
        <w:t xml:space="preserve"> </w:t>
      </w:r>
      <m:oMath>
        <m:r>
          <m:t>ξ</m:t>
        </m:r>
      </m:oMath>
      <w:r>
        <w:rPr>
          <w:rFonts w:ascii="Times New Roman" w:hAnsi="Times New Roman" w:eastAsia="宋体"/>
          <w:color w:val="000000"/>
          <w:sz w:val="21"/>
        </w:rPr>
        <w:t xml:space="preserve">。第一种采用负载相关增益，将力误差直接映射为顺应增量，并通过低通滤波抑制突变；第二种使用质量—阻尼参考动力学逐步更新顺应增量。本文将前者记为形式 I，将后者记为形式 II。两种形式均设置相同的单步增量上限，其差别主要在于建立顺应修正的快慢与平滑性。</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K</m:t>
            </m:r>
          </m:e>
          <m:sub>
            <m:r>
              <m:t>f</m:t>
            </m:r>
          </m:sub>
        </m:sSub>
        <m:r>
          <m:rPr>
            <m:sty m:val="p"/>
          </m:rPr>
          <m:t>=</m:t>
        </m:r>
        <m:sSub>
          <m:e>
            <m:r>
              <m:t>k</m:t>
            </m:r>
          </m:e>
          <m:sub>
            <m:r>
              <m:t>0</m:t>
            </m:r>
          </m:sub>
        </m:sSub>
        <m:r>
          <m:rPr>
            <m:sty m:val="p"/>
          </m:rPr>
          <m:t>+</m:t>
        </m:r>
        <m:sSub>
          <m:e>
            <m:r>
              <m:t>k</m:t>
            </m:r>
          </m:e>
          <m:sub>
            <m:r>
              <m:t>1</m:t>
            </m:r>
          </m:sub>
        </m:sSub>
        <m:r>
          <m:rPr>
            <m:sty m:val="p"/>
          </m:rPr>
          <m:t>∥</m:t>
        </m:r>
        <m:sSub>
          <m:e>
            <m:r>
              <m:t>f</m:t>
            </m:r>
          </m:e>
          <m:sub>
            <m:r>
              <m:t>c</m:t>
            </m:r>
          </m:sub>
        </m:sSub>
        <m:r>
          <m:rPr>
            <m:sty m:val="p"/>
          </m:rPr>
          <m:t>∥</m:t>
        </m:r>
      </m:oMath>
      <w:r>
        <w:rPr>
          <w:rFonts w:ascii="Times New Roman" w:hAnsi="Times New Roman" w:eastAsia="宋体"/>
          <w:color w:val="000000"/>
          <w:sz w:val="21"/>
        </w:rPr>
        <w:tab/>
        <w:t>(3a)</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ξ</m:t>
            </m:r>
          </m:e>
          <m:sub>
            <m:r>
              <m:rPr>
                <m:sty m:val="p"/>
              </m:rPr>
              <m:t>i</m:t>
            </m:r>
            <m:r>
              <m:rPr>
                <m:sty m:val="p"/>
              </m:rPr>
              <m:t>d</m:t>
            </m:r>
          </m:sub>
        </m:sSub>
        <m:r>
          <m:rPr>
            <m:sty m:val="p"/>
          </m:rPr>
          <m:t>=</m:t>
        </m:r>
        <m:sSub>
          <m:e>
            <m:r>
              <m:rPr>
                <m:sty m:val="p"/>
              </m:rPr>
              <m:t>sat</m:t>
            </m:r>
          </m:e>
          <m:sub>
            <m:sSub>
              <m:e>
                <m:r>
                  <m:t>ξ</m:t>
                </m:r>
              </m:e>
              <m:sub>
                <m:r>
                  <m:rPr>
                    <m:sty m:val="p"/>
                  </m:rPr>
                  <m:t>max</m:t>
                </m:r>
              </m:sub>
            </m:sSub>
          </m:sub>
        </m:sSub>
        <m:d>
          <m:dPr>
            <m:begChr m:val="("/>
            <m:endChr m:val=")"/>
            <m:sepChr m:val=""/>
            <m:grow/>
          </m:dPr>
          <m:e>
            <m:sSub>
              <m:e>
                <m:r>
                  <m:t>K</m:t>
                </m:r>
              </m:e>
              <m:sub>
                <m:r>
                  <m:t>f</m:t>
                </m:r>
              </m:sub>
            </m:sSub>
            <m:sSub>
              <m:e>
                <m:r>
                  <m:t>e</m:t>
                </m:r>
              </m:e>
              <m:sub>
                <m:r>
                  <m:t>f</m:t>
                </m:r>
              </m:sub>
            </m:sSub>
            <m:sSub>
              <m:e>
                <m:r>
                  <m:t>n</m:t>
                </m:r>
              </m:e>
              <m:sub>
                <m:r>
                  <m:t>f</m:t>
                </m:r>
              </m:sub>
            </m:sSub>
          </m:e>
        </m:d>
      </m:oMath>
      <w:r>
        <w:rPr>
          <w:rFonts w:ascii="Times New Roman" w:hAnsi="Times New Roman" w:eastAsia="宋体"/>
          <w:color w:val="000000"/>
          <w:sz w:val="21"/>
        </w:rPr>
        <w:tab/>
        <w:t>(3b)</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Sup>
          <m:e>
            <m:r>
              <m:t>ξ</m:t>
            </m:r>
          </m:e>
          <m:sub>
            <m:r>
              <m:t>c</m:t>
            </m:r>
          </m:sub>
          <m:sup>
            <m:r>
              <m:rPr>
                <m:sty m:val="p"/>
              </m:rPr>
              <m:t>I</m:t>
            </m:r>
          </m:sup>
        </m:sSubSup>
        <m:r>
          <m:rPr>
            <m:sty m:val="p"/>
          </m:rPr>
          <m:t>=</m:t>
        </m:r>
        <m:sSub>
          <m:e>
            <m:r>
              <m:rPr>
                <m:sty m:val="p"/>
              </m:rPr>
              <m:t>LPF</m:t>
            </m:r>
          </m:e>
          <m:sub>
            <m:r>
              <m:t>α</m:t>
            </m:r>
          </m:sub>
        </m:sSub>
        <m:d>
          <m:dPr>
            <m:begChr m:val="("/>
            <m:endChr m:val=")"/>
            <m:sepChr m:val=""/>
            <m:grow/>
          </m:dPr>
          <m:e>
            <m:sSub>
              <m:e>
                <m:r>
                  <m:t>ξ</m:t>
                </m:r>
              </m:e>
              <m:sub>
                <m:r>
                  <m:rPr>
                    <m:sty m:val="p"/>
                  </m:rPr>
                  <m:t>i</m:t>
                </m:r>
                <m:r>
                  <m:rPr>
                    <m:sty m:val="p"/>
                  </m:rPr>
                  <m:t>d</m:t>
                </m:r>
              </m:sub>
            </m:sSub>
          </m:e>
        </m:d>
      </m:oMath>
      <w:r>
        <w:rPr>
          <w:rFonts w:ascii="Times New Roman" w:hAnsi="Times New Roman" w:eastAsia="宋体"/>
          <w:color w:val="000000"/>
          <w:sz w:val="21"/>
        </w:rPr>
        <w:tab/>
        <w:t>(3c)</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Sup>
          <m:e>
            <m:acc>
              <m:accPr>
                <m:chr m:val="̂"/>
              </m:accPr>
              <m:e>
                <m:r>
                  <m:t>f</m:t>
                </m:r>
              </m:e>
            </m:acc>
          </m:e>
          <m:sub>
            <m:r>
              <m:t>c</m:t>
            </m:r>
          </m:sub>
          <m:sup>
            <m:d>
              <m:dPr>
                <m:begChr m:val="("/>
                <m:endChr m:val=")"/>
                <m:sepChr m:val=""/>
                <m:grow/>
              </m:dPr>
              <m:e>
                <m:r>
                  <m:t>j</m:t>
                </m:r>
              </m:e>
            </m:d>
          </m:sup>
        </m:sSubSup>
        <m:r>
          <m:rPr>
            <m:sty m:val="p"/>
          </m:rPr>
          <m:t>=</m:t>
        </m:r>
        <m:r>
          <m:t>λ</m:t>
        </m:r>
        <m:sSubSup>
          <m:e>
            <m:r>
              <m:t>f</m:t>
            </m:r>
          </m:e>
          <m:sub>
            <m:r>
              <m:t>c</m:t>
            </m:r>
          </m:sub>
          <m:sup>
            <m:d>
              <m:dPr>
                <m:begChr m:val="("/>
                <m:endChr m:val=")"/>
                <m:sepChr m:val=""/>
                <m:grow/>
              </m:dPr>
              <m:e>
                <m:r>
                  <m:t>j</m:t>
                </m:r>
              </m:e>
            </m:d>
          </m:sup>
        </m:sSubSup>
        <m:r>
          <m:rPr>
            <m:sty m:val="p"/>
          </m:rPr>
          <m:t>+</m:t>
        </m:r>
        <m:d>
          <m:dPr>
            <m:begChr m:val="("/>
            <m:endChr m:val=")"/>
            <m:sepChr m:val=""/>
            <m:grow/>
          </m:dPr>
          <m:e>
            <m:r>
              <m:t>1</m:t>
            </m:r>
            <m:r>
              <m:rPr>
                <m:sty m:val="p"/>
              </m:rPr>
              <m:t>−</m:t>
            </m:r>
            <m:r>
              <m:t>λ</m:t>
            </m:r>
          </m:e>
        </m:d>
        <m:sSubSup>
          <m:e>
            <m:acc>
              <m:accPr>
                <m:chr m:val="̂"/>
              </m:accPr>
              <m:e>
                <m:r>
                  <m:t>f</m:t>
                </m:r>
              </m:e>
            </m:acc>
          </m:e>
          <m:sub>
            <m:r>
              <m:t>c</m:t>
            </m:r>
          </m:sub>
          <m:sup>
            <m:d>
              <m:dPr>
                <m:begChr m:val="("/>
                <m:endChr m:val=")"/>
                <m:sepChr m:val=""/>
                <m:grow/>
              </m:dPr>
              <m:e>
                <m:r>
                  <m:t>j</m:t>
                </m:r>
                <m:r>
                  <m:rPr>
                    <m:sty m:val="p"/>
                  </m:rPr>
                  <m:t>−</m:t>
                </m:r>
                <m:r>
                  <m:t>1</m:t>
                </m:r>
              </m:e>
            </m:d>
          </m:sup>
        </m:sSubSup>
      </m:oMath>
      <w:r>
        <w:rPr>
          <w:rFonts w:ascii="Times New Roman" w:hAnsi="Times New Roman" w:eastAsia="宋体"/>
          <w:color w:val="000000"/>
          <w:sz w:val="21"/>
        </w:rPr>
        <w:tab/>
        <w:t>(4a)</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Sup>
          <m:e>
            <m:r>
              <m:t>ξ</m:t>
            </m:r>
          </m:e>
          <m:sub>
            <m:r>
              <m:t>c</m:t>
            </m:r>
          </m:sub>
          <m:sup>
            <m:r>
              <m:rPr>
                <m:sty m:val="p"/>
              </m:rPr>
              <m:t>I</m:t>
            </m:r>
            <m:r>
              <m:rPr>
                <m:sty m:val="p"/>
              </m:rPr>
              <m:t>I</m:t>
            </m:r>
            <m:r>
              <m:rPr>
                <m:sty m:val="p"/>
              </m:rPr>
              <m:t>,</m:t>
            </m:r>
            <m:d>
              <m:dPr>
                <m:begChr m:val="("/>
                <m:endChr m:val=")"/>
                <m:sepChr m:val=""/>
                <m:grow/>
              </m:dPr>
              <m:e>
                <m:r>
                  <m:t>j</m:t>
                </m:r>
                <m:r>
                  <m:rPr>
                    <m:sty m:val="p"/>
                  </m:rPr>
                  <m:t>+</m:t>
                </m:r>
                <m:r>
                  <m:t>1</m:t>
                </m:r>
              </m:e>
            </m:d>
          </m:sup>
        </m:sSubSup>
        <m:r>
          <m:rPr>
            <m:sty m:val="p"/>
          </m:rPr>
          <m:t>=</m:t>
        </m:r>
        <m:sSub>
          <m:e>
            <m:r>
              <m:rPr>
                <m:sty m:val="p"/>
              </m:rPr>
              <m:t>sat</m:t>
            </m:r>
          </m:e>
          <m:sub>
            <m:sSub>
              <m:e>
                <m:r>
                  <m:t>ξ</m:t>
                </m:r>
              </m:e>
              <m:sub>
                <m:r>
                  <m:rPr>
                    <m:sty m:val="p"/>
                  </m:rPr>
                  <m:t>max</m:t>
                </m:r>
              </m:sub>
            </m:sSub>
          </m:sub>
        </m:sSub>
        <m:r>
          <m:t>​</m:t>
        </m:r>
        <m:d>
          <m:dPr>
            <m:begChr m:val="["/>
            <m:endChr m:val="]"/>
            <m:sepChr m:val=""/>
            <m:grow/>
          </m:dPr>
          <m:e>
            <m:sSubSup>
              <m:e>
                <m:r>
                  <m:t>ξ</m:t>
                </m:r>
              </m:e>
              <m:sub>
                <m:r>
                  <m:t>c</m:t>
                </m:r>
              </m:sub>
              <m:sup>
                <m:r>
                  <m:rPr>
                    <m:sty m:val="p"/>
                  </m:rPr>
                  <m:t>I</m:t>
                </m:r>
                <m:r>
                  <m:rPr>
                    <m:sty m:val="p"/>
                  </m:rPr>
                  <m:t>I</m:t>
                </m:r>
                <m:r>
                  <m:rPr>
                    <m:sty m:val="p"/>
                  </m:rPr>
                  <m:t>,</m:t>
                </m:r>
                <m:d>
                  <m:dPr>
                    <m:begChr m:val="("/>
                    <m:endChr m:val=")"/>
                    <m:sepChr m:val=""/>
                    <m:grow/>
                  </m:dPr>
                  <m:e>
                    <m:r>
                      <m:t>j</m:t>
                    </m:r>
                  </m:e>
                </m:d>
              </m:sup>
            </m:sSubSup>
            <m:r>
              <m:rPr>
                <m:sty m:val="p"/>
              </m:rPr>
              <m:t>+</m:t>
            </m:r>
            <m:f>
              <m:fPr>
                <m:type m:val="bar"/>
              </m:fPr>
              <m:num>
                <m:r>
                  <m:t>Δ</m:t>
                </m:r>
                <m:sSub>
                  <m:e>
                    <m:r>
                      <m:t>t</m:t>
                    </m:r>
                  </m:e>
                  <m:sub>
                    <m:r>
                      <m:t>s</m:t>
                    </m:r>
                  </m:sub>
                </m:sSub>
              </m:num>
              <m:den>
                <m:r>
                  <m:t>M</m:t>
                </m:r>
              </m:den>
            </m:f>
            <m:d>
              <m:dPr>
                <m:begChr m:val="("/>
                <m:endChr m:val=")"/>
                <m:sepChr m:val=""/>
                <m:grow/>
              </m:dPr>
              <m:e>
                <m:sSubSup>
                  <m:e>
                    <m:r>
                      <m:t>e</m:t>
                    </m:r>
                  </m:e>
                  <m:sub>
                    <m:r>
                      <m:t>f</m:t>
                    </m:r>
                  </m:sub>
                  <m:sup>
                    <m:d>
                      <m:dPr>
                        <m:begChr m:val="("/>
                        <m:endChr m:val=")"/>
                        <m:sepChr m:val=""/>
                        <m:grow/>
                      </m:dPr>
                      <m:e>
                        <m:r>
                          <m:t>j</m:t>
                        </m:r>
                      </m:e>
                    </m:d>
                  </m:sup>
                </m:sSubSup>
                <m:sSubSup>
                  <m:e>
                    <m:acc>
                      <m:accPr>
                        <m:chr m:val="̂"/>
                      </m:accPr>
                      <m:e>
                        <m:r>
                          <m:t>n</m:t>
                        </m:r>
                      </m:e>
                    </m:acc>
                  </m:e>
                  <m:sub>
                    <m:r>
                      <m:t>f</m:t>
                    </m:r>
                  </m:sub>
                  <m:sup>
                    <m:d>
                      <m:dPr>
                        <m:begChr m:val="("/>
                        <m:endChr m:val=")"/>
                        <m:sepChr m:val=""/>
                        <m:grow/>
                      </m:dPr>
                      <m:e>
                        <m:r>
                          <m:t>j</m:t>
                        </m:r>
                      </m:e>
                    </m:d>
                  </m:sup>
                </m:sSubSup>
                <m:r>
                  <m:rPr>
                    <m:sty m:val="p"/>
                  </m:rPr>
                  <m:t>−</m:t>
                </m:r>
                <m:r>
                  <m:t>B</m:t>
                </m:r>
                <m:sSubSup>
                  <m:e>
                    <m:r>
                      <m:t>ξ</m:t>
                    </m:r>
                  </m:e>
                  <m:sub>
                    <m:r>
                      <m:t>c</m:t>
                    </m:r>
                  </m:sub>
                  <m:sup>
                    <m:r>
                      <m:rPr>
                        <m:sty m:val="p"/>
                      </m:rPr>
                      <m:t>I</m:t>
                    </m:r>
                    <m:r>
                      <m:rPr>
                        <m:sty m:val="p"/>
                      </m:rPr>
                      <m:t>I</m:t>
                    </m:r>
                    <m:r>
                      <m:rPr>
                        <m:sty m:val="p"/>
                      </m:rPr>
                      <m:t>,</m:t>
                    </m:r>
                    <m:d>
                      <m:dPr>
                        <m:begChr m:val="("/>
                        <m:endChr m:val=")"/>
                        <m:sepChr m:val=""/>
                        <m:grow/>
                      </m:dPr>
                      <m:e>
                        <m:r>
                          <m:t>j</m:t>
                        </m:r>
                      </m:e>
                    </m:d>
                  </m:sup>
                </m:sSubSup>
              </m:e>
            </m:d>
          </m:e>
        </m:d>
      </m:oMath>
      <w:r>
        <w:rPr>
          <w:rFonts w:ascii="Times New Roman" w:hAnsi="Times New Roman" w:eastAsia="宋体"/>
          <w:color w:val="000000"/>
          <w:sz w:val="21"/>
        </w:rPr>
        <w:tab/>
        <w:t>(4b)</w:t>
      </w:r>
    </w:p>
    <w:p>
      <w:pPr>
        <w:pStyle w:val="FirstParagraph"/>
        <w:spacing w:line="300" w:lineRule="auto" w:before="0" w:after="0"/>
        <w:ind w:firstLine="420"/>
        <w:jc w:val="both"/>
      </w:pPr>
      <w:r>
        <w:rPr>
          <w:rFonts w:ascii="Times New Roman" w:hAnsi="Times New Roman" w:eastAsia="宋体"/>
          <w:color w:val="000000"/>
          <w:sz w:val="21"/>
        </w:rPr>
        <w:t xml:space="preserve">形式 II 中，</w:t>
      </w:r>
      <m:oMath>
        <m:r>
          <m:t>j</m:t>
        </m:r>
      </m:oMath>
      <w:r>
        <w:rPr>
          <w:rFonts w:ascii="Times New Roman" w:hAnsi="Times New Roman" w:eastAsia="宋体"/>
          <w:color w:val="000000"/>
          <w:sz w:val="21"/>
        </w:rPr>
        <w:t xml:space="preserve"> </w:t>
      </w:r>
      <w:r>
        <w:rPr>
          <w:rFonts w:ascii="Times New Roman" w:hAnsi="Times New Roman" w:eastAsia="宋体"/>
          <w:color w:val="000000"/>
          <w:sz w:val="21"/>
        </w:rPr>
        <w:t xml:space="preserve">表示低层物理子步，</w:t>
      </w:r>
      <m:oMath>
        <m:r>
          <m:t>Δ</m:t>
        </m:r>
        <m:sSub>
          <m:e>
            <m:r>
              <m:t>t</m:t>
            </m:r>
          </m:e>
          <m:sub>
            <m:r>
              <m:t>s</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为子步时间，</w:t>
      </w:r>
      <m:oMath>
        <m:sSubSup>
          <m:e>
            <m:acc>
              <m:accPr>
                <m:chr m:val="̂"/>
              </m:accPr>
              <m:e>
                <m:r>
                  <m:t>n</m:t>
                </m:r>
              </m:e>
            </m:acc>
          </m:e>
          <m:sub>
            <m:r>
              <m:t>f</m:t>
            </m:r>
          </m:sub>
          <m:sup>
            <m:d>
              <m:dPr>
                <m:begChr m:val="("/>
                <m:endChr m:val=")"/>
                <m:sepChr m:val=""/>
                <m:grow/>
              </m:dPr>
              <m:e>
                <m:r>
                  <m:t>j</m:t>
                </m:r>
              </m:e>
            </m:d>
          </m:sup>
        </m:sSubSup>
      </m:oMath>
      <w:r>
        <w:rPr>
          <w:rFonts w:ascii="Times New Roman" w:hAnsi="Times New Roman" w:eastAsia="宋体"/>
          <w:color w:val="000000"/>
          <w:sz w:val="21"/>
        </w:rPr>
        <w:t xml:space="preserve"> </w:t>
      </w:r>
      <w:r>
        <w:rPr>
          <w:rFonts w:ascii="Times New Roman" w:hAnsi="Times New Roman" w:eastAsia="宋体"/>
          <w:color w:val="000000"/>
          <w:sz w:val="21"/>
        </w:rPr>
        <w:t xml:space="preserve">由滤波后的接触力构造。若 TCP 已低于支撑面参考高度且目标运动增量仍指向支撑面，则将该法向增量截断为零，以限制继续向下运动。离开接触邻域后，顺应状态按固定衰减系数平滑释放，避免控制量突变。</w:t>
      </w:r>
    </w:p>
    <w:p>
      <w:pPr>
        <w:pStyle w:val="BodyText"/>
        <w:spacing w:line="300" w:lineRule="auto" w:before="0" w:after="0"/>
        <w:ind w:firstLine="420"/>
        <w:jc w:val="both"/>
      </w:pPr>
      <w:r>
        <w:rPr>
          <w:rFonts w:ascii="Times New Roman" w:hAnsi="Times New Roman" w:eastAsia="宋体"/>
          <w:color w:val="000000"/>
          <w:sz w:val="21"/>
        </w:rPr>
        <w:t xml:space="preserve">最终，将顺应修正通过 TCP 平移雅可比矩阵的阻尼最小二乘逆映射到关节空间：</w:t>
      </w:r>
    </w:p>
    <w:p>
      <w:pPr>
        <w:pStyle w:val="BodyText"/>
        <w:tabs>
          <w:tab w:pos="4535" w:val="center"/>
          <w:tab w:pos="9070" w:val="right"/>
        </w:tabs>
        <w:spacing w:before="60" w:after="60"/>
        <w:jc w:val="left"/>
      </w:pPr>
      <w:r>
        <w:rPr>
          <w:rFonts w:ascii="Times New Roman" w:hAnsi="Times New Roman" w:eastAsia="宋体"/>
          <w:color w:val="000000"/>
          <w:sz w:val="21"/>
        </w:rPr>
        <w:tab/>
      </w:r>
      <m:oMath>
        <m:r>
          <m:t>Δ</m:t>
        </m:r>
        <m:sSub>
          <m:e>
            <m:r>
              <m:t>q</m:t>
            </m:r>
          </m:e>
          <m:sub>
            <m:r>
              <m:rPr>
                <m:sty m:val="p"/>
              </m:rPr>
              <m:t>c</m:t>
            </m:r>
            <m:r>
              <m:rPr>
                <m:sty m:val="p"/>
              </m:rPr>
              <m:t>o</m:t>
            </m:r>
            <m:r>
              <m:rPr>
                <m:sty m:val="p"/>
              </m:rPr>
              <m:t>n</m:t>
            </m:r>
          </m:sub>
        </m:sSub>
        <m:r>
          <m:rPr>
            <m:sty m:val="p"/>
          </m:rPr>
          <m:t>=</m:t>
        </m:r>
        <m:sSubSup>
          <m:e>
            <m:r>
              <m:t>J</m:t>
            </m:r>
          </m:e>
          <m:sub>
            <m:r>
              <m:rPr>
                <m:sty m:val="p"/>
              </m:rPr>
              <m:t>t</m:t>
            </m:r>
            <m:r>
              <m:rPr>
                <m:sty m:val="p"/>
              </m:rPr>
              <m:t>c</m:t>
            </m:r>
            <m:r>
              <m:rPr>
                <m:sty m:val="p"/>
              </m:rPr>
              <m:t>p</m:t>
            </m:r>
            <m:r>
              <m:rPr>
                <m:sty m:val="p"/>
              </m:rPr>
              <m:t>,</m:t>
            </m:r>
            <m:r>
              <m:t>ρ</m:t>
            </m:r>
          </m:sub>
          <m:sup>
            <m:r>
              <m:rPr>
                <m:sty m:val="p"/>
              </m:rPr>
              <m:t>†</m:t>
            </m:r>
          </m:sup>
        </m:sSubSup>
        <m:d>
          <m:dPr>
            <m:begChr m:val="("/>
            <m:endChr m:val=")"/>
            <m:sepChr m:val=""/>
            <m:grow/>
          </m:dPr>
          <m:e>
            <m:sSub>
              <m:e>
                <m:r>
                  <m:t>ξ</m:t>
                </m:r>
              </m:e>
              <m:sub>
                <m:r>
                  <m:rPr>
                    <m:sty m:val="p"/>
                  </m:rPr>
                  <m:t>t</m:t>
                </m:r>
                <m:r>
                  <m:rPr>
                    <m:sty m:val="p"/>
                  </m:rPr>
                  <m:t>g</m:t>
                </m:r>
                <m:r>
                  <m:rPr>
                    <m:sty m:val="p"/>
                  </m:rPr>
                  <m:t>t</m:t>
                </m:r>
              </m:sub>
            </m:sSub>
            <m:r>
              <m:rPr>
                <m:sty m:val="p"/>
              </m:rPr>
              <m:t>−</m:t>
            </m:r>
            <m:sSub>
              <m:e>
                <m:r>
                  <m:t>ξ</m:t>
                </m:r>
              </m:e>
              <m:sub>
                <m:r>
                  <m:rPr>
                    <m:sty m:val="p"/>
                  </m:rPr>
                  <m:t>c</m:t>
                </m:r>
                <m:r>
                  <m:rPr>
                    <m:sty m:val="p"/>
                  </m:rPr>
                  <m:t>m</m:t>
                </m:r>
                <m:r>
                  <m:rPr>
                    <m:sty m:val="p"/>
                  </m:rPr>
                  <m:t>d</m:t>
                </m:r>
              </m:sub>
            </m:sSub>
          </m:e>
        </m:d>
      </m:oMath>
      <w:r>
        <w:rPr>
          <w:rFonts w:ascii="Times New Roman" w:hAnsi="Times New Roman" w:eastAsia="宋体"/>
          <w:color w:val="000000"/>
          <w:sz w:val="21"/>
        </w:rPr>
        <w:tab/>
        <w:t>(5)</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u</m:t>
            </m:r>
          </m:e>
          <m:sub>
            <m:r>
              <m:t>1</m:t>
            </m:r>
            <m:r>
              <m:rPr>
                <m:sty m:val="p"/>
              </m:rPr>
              <m:t>:</m:t>
            </m:r>
            <m:r>
              <m:t>6</m:t>
            </m:r>
          </m:sub>
        </m:sSub>
        <m:r>
          <m:rPr>
            <m:sty m:val="p"/>
          </m:rPr>
          <m:t>=</m:t>
        </m:r>
        <m:r>
          <m:t>q</m:t>
        </m:r>
        <m:r>
          <m:rPr>
            <m:sty m:val="p"/>
          </m:rPr>
          <m:t>+</m:t>
        </m:r>
        <m:r>
          <m:t>Δ</m:t>
        </m:r>
        <m:sSub>
          <m:e>
            <m:r>
              <m:t>q</m:t>
            </m:r>
          </m:e>
          <m:sub>
            <m:r>
              <m:rPr>
                <m:sty m:val="p"/>
              </m:rPr>
              <m:t>v</m:t>
            </m:r>
            <m:r>
              <m:rPr>
                <m:sty m:val="p"/>
              </m:rPr>
              <m:t>l</m:t>
            </m:r>
            <m:r>
              <m:rPr>
                <m:sty m:val="p"/>
              </m:rPr>
              <m:t>a</m:t>
            </m:r>
          </m:sub>
        </m:sSub>
        <m:r>
          <m:rPr>
            <m:sty m:val="p"/>
          </m:rPr>
          <m:t>+</m:t>
        </m:r>
        <m:r>
          <m:t>Δ</m:t>
        </m:r>
        <m:sSub>
          <m:e>
            <m:r>
              <m:t>q</m:t>
            </m:r>
          </m:e>
          <m:sub>
            <m:r>
              <m:rPr>
                <m:sty m:val="p"/>
              </m:rPr>
              <m:t>c</m:t>
            </m:r>
            <m:r>
              <m:rPr>
                <m:sty m:val="p"/>
              </m:rPr>
              <m:t>o</m:t>
            </m:r>
            <m:r>
              <m:rPr>
                <m:sty m:val="p"/>
              </m:rPr>
              <m:t>n</m:t>
            </m:r>
          </m:sub>
        </m:sSub>
        <m:r>
          <m:rPr>
            <m:sty m:val="p"/>
          </m:rPr>
          <m:t>.</m:t>
        </m:r>
      </m:oMath>
      <w:r>
        <w:rPr>
          <w:rFonts w:ascii="Times New Roman" w:hAnsi="Times New Roman" w:eastAsia="宋体"/>
          <w:color w:val="000000"/>
          <w:sz w:val="21"/>
        </w:rPr>
        <w:tab/>
        <w:t>(6)</w:t>
      </w:r>
    </w:p>
    <w:p>
      <w:pPr>
        <w:pStyle w:val="FirstParagraph"/>
        <w:spacing w:line="300" w:lineRule="auto" w:before="0" w:after="0"/>
        <w:ind w:firstLine="420"/>
        <w:jc w:val="both"/>
      </w:pPr>
      <w:r>
        <w:rPr>
          <w:rFonts w:ascii="Times New Roman" w:hAnsi="Times New Roman" w:eastAsia="宋体"/>
          <w:color w:val="000000"/>
          <w:sz w:val="21"/>
        </w:rPr>
        <w:t xml:space="preserve">其中，</w:t>
      </w:r>
      <m:oMath>
        <m:sSubSup>
          <m:e>
            <m:r>
              <m:t>J</m:t>
            </m:r>
          </m:e>
          <m:sub>
            <m:r>
              <m:rPr>
                <m:sty m:val="p"/>
              </m:rPr>
              <m:t>t</m:t>
            </m:r>
            <m:r>
              <m:rPr>
                <m:sty m:val="p"/>
              </m:rPr>
              <m:t>c</m:t>
            </m:r>
            <m:r>
              <m:rPr>
                <m:sty m:val="p"/>
              </m:rPr>
              <m:t>p</m:t>
            </m:r>
            <m:r>
              <m:rPr>
                <m:sty m:val="p"/>
              </m:rPr>
              <m:t>,</m:t>
            </m:r>
            <m:r>
              <m:t>ρ</m:t>
            </m:r>
          </m:sub>
          <m:sup>
            <m:r>
              <m:rPr>
                <m:sty m:val="p"/>
              </m:rPr>
              <m:t>†</m:t>
            </m:r>
          </m:sup>
        </m:sSubSup>
      </m:oMath>
      <w:r>
        <w:rPr>
          <w:rFonts w:ascii="Times New Roman" w:hAnsi="Times New Roman" w:eastAsia="宋体"/>
          <w:color w:val="000000"/>
          <w:sz w:val="21"/>
        </w:rPr>
        <w:t xml:space="preserve"> </w:t>
      </w:r>
      <w:r>
        <w:rPr>
          <w:rFonts w:ascii="Times New Roman" w:hAnsi="Times New Roman" w:eastAsia="宋体"/>
          <w:color w:val="000000"/>
          <w:sz w:val="21"/>
        </w:rPr>
        <w:t xml:space="preserve">为带阻尼的伪逆。该映射只作用于新增的笛卡尔修正量，而基础 VLA 输出的关节目标保持不变。因此，两种导纳形式都可以直接接入同一位置控制执行链。</w:t>
      </w:r>
    </w:p>
    <w:bookmarkEnd w:id="28"/>
    <w:bookmarkStart w:id="29" w:name="几何避障模块"/>
    <w:p>
      <w:pPr>
        <w:pStyle w:val="Heading2"/>
        <w:jc w:val="left"/>
      </w:pPr>
      <w:r>
        <w:t xml:space="preserve">4.3 几何避障模块</w:t>
      </w:r>
    </w:p>
    <w:p>
      <w:pPr>
        <w:pStyle w:val="FirstParagraph"/>
        <w:spacing w:line="300" w:lineRule="auto" w:before="0" w:after="0"/>
        <w:ind w:firstLine="420"/>
        <w:jc w:val="both"/>
      </w:pPr>
      <w:r>
        <w:rPr>
          <w:rFonts w:ascii="Times New Roman" w:hAnsi="Times New Roman" w:eastAsia="宋体"/>
          <w:color w:val="000000"/>
          <w:sz w:val="21"/>
        </w:rPr>
        <w:t xml:space="preserve">几何避障模块用于降低机械臂远端及被抓取工具在转运过程中与障碍物发生干涉的风险。为避免在控制循环中进行网格级距离计算，本文使用胶囊体近似腕部远端、被抓取螺丝刀和障碍支柱。当工具被抬升后，模块计算各活动胶囊与障碍胶囊之间的线段最近点，并选取最小表面距离对应的主导几何对。</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d</m:t>
            </m:r>
          </m:e>
          <m:sub>
            <m:r>
              <m:rPr>
                <m:sty m:val="p"/>
              </m:rPr>
              <m:t>min</m:t>
            </m:r>
          </m:sub>
        </m:sSub>
        <m:r>
          <m:rPr>
            <m:sty m:val="p"/>
          </m:rPr>
          <m:t>=</m:t>
        </m:r>
        <m:limLow>
          <m:e>
            <m:r>
              <m:rPr>
                <m:sty m:val="p"/>
              </m:rPr>
              <m:t>min</m:t>
            </m:r>
          </m:e>
          <m:lim>
            <m:r>
              <m:t>i</m:t>
            </m:r>
          </m:lim>
        </m:limLow>
        <m:d>
          <m:dPr>
            <m:begChr m:val="("/>
            <m:endChr m:val=")"/>
            <m:sepChr m:val=""/>
            <m:grow/>
          </m:dPr>
          <m:e>
            <m:r>
              <m:rPr>
                <m:sty m:val="p"/>
              </m:rPr>
              <m:t>∥</m:t>
            </m:r>
            <m:sSub>
              <m:e>
                <m:r>
                  <m:t>c</m:t>
                </m:r>
              </m:e>
              <m:sub>
                <m:r>
                  <m:t>i</m:t>
                </m:r>
              </m:sub>
            </m:sSub>
            <m:r>
              <m:rPr>
                <m:sty m:val="p"/>
              </m:rPr>
              <m:t>−</m:t>
            </m:r>
            <m:sSub>
              <m:e>
                <m:r>
                  <m:t>c</m:t>
                </m:r>
              </m:e>
              <m:sub>
                <m:r>
                  <m:t>o</m:t>
                </m:r>
              </m:sub>
            </m:sSub>
            <m:r>
              <m:rPr>
                <m:sty m:val="p"/>
              </m:rPr>
              <m:t>∥</m:t>
            </m:r>
            <m:r>
              <m:rPr>
                <m:sty m:val="p"/>
              </m:rPr>
              <m:t>−</m:t>
            </m:r>
            <m:sSub>
              <m:e>
                <m:r>
                  <m:t>r</m:t>
                </m:r>
              </m:e>
              <m:sub>
                <m:r>
                  <m:t>i</m:t>
                </m:r>
              </m:sub>
            </m:sSub>
            <m:r>
              <m:rPr>
                <m:sty m:val="p"/>
              </m:rPr>
              <m:t>−</m:t>
            </m:r>
            <m:sSub>
              <m:e>
                <m:r>
                  <m:t>r</m:t>
                </m:r>
              </m:e>
              <m:sub>
                <m:r>
                  <m:t>o</m:t>
                </m:r>
              </m:sub>
            </m:sSub>
          </m:e>
        </m:d>
      </m:oMath>
      <w:r>
        <w:rPr>
          <w:rFonts w:ascii="Times New Roman" w:hAnsi="Times New Roman" w:eastAsia="宋体"/>
          <w:color w:val="000000"/>
          <w:sz w:val="21"/>
        </w:rPr>
        <w:tab/>
        <w:t>(7)</w:t>
      </w:r>
    </w:p>
    <w:p>
      <w:pPr>
        <w:pStyle w:val="FirstParagraph"/>
        <w:tabs>
          <w:tab w:pos="4535" w:val="center"/>
          <w:tab w:pos="9070" w:val="right"/>
        </w:tabs>
        <w:spacing w:before="60" w:after="60"/>
        <w:jc w:val="left"/>
      </w:pPr>
      <w:r>
        <w:rPr>
          <w:rFonts w:ascii="Times New Roman" w:hAnsi="Times New Roman" w:eastAsia="宋体"/>
          <w:color w:val="000000"/>
          <w:sz w:val="21"/>
        </w:rPr>
        <w:tab/>
      </w:r>
      <m:oMath>
        <m:r>
          <m:t>n</m:t>
        </m:r>
        <m:r>
          <m:rPr>
            <m:sty m:val="p"/>
          </m:rPr>
          <m:t>=</m:t>
        </m:r>
        <m:f>
          <m:fPr>
            <m:type m:val="bar"/>
          </m:fPr>
          <m:num>
            <m:sSubSup>
              <m:e>
                <m:r>
                  <m:t>c</m:t>
                </m:r>
              </m:e>
              <m:sub>
                <m:r>
                  <m:t>i</m:t>
                </m:r>
              </m:sub>
              <m:sup>
                <m:r>
                  <m:rPr>
                    <m:sty m:val="p"/>
                  </m:rPr>
                  <m:t>⋆</m:t>
                </m:r>
              </m:sup>
            </m:sSubSup>
            <m:r>
              <m:rPr>
                <m:sty m:val="p"/>
              </m:rPr>
              <m:t>−</m:t>
            </m:r>
            <m:sSubSup>
              <m:e>
                <m:r>
                  <m:t>c</m:t>
                </m:r>
              </m:e>
              <m:sub>
                <m:r>
                  <m:t>o</m:t>
                </m:r>
              </m:sub>
              <m:sup>
                <m:r>
                  <m:rPr>
                    <m:sty m:val="p"/>
                  </m:rPr>
                  <m:t>⋆</m:t>
                </m:r>
              </m:sup>
            </m:sSubSup>
          </m:num>
          <m:den>
            <m:r>
              <m:rPr>
                <m:sty m:val="p"/>
              </m:rPr>
              <m:t>∥</m:t>
            </m:r>
            <m:sSubSup>
              <m:e>
                <m:r>
                  <m:t>c</m:t>
                </m:r>
              </m:e>
              <m:sub>
                <m:r>
                  <m:t>i</m:t>
                </m:r>
              </m:sub>
              <m:sup>
                <m:r>
                  <m:rPr>
                    <m:sty m:val="p"/>
                  </m:rPr>
                  <m:t>⋆</m:t>
                </m:r>
              </m:sup>
            </m:sSubSup>
            <m:r>
              <m:rPr>
                <m:sty m:val="p"/>
              </m:rPr>
              <m:t>−</m:t>
            </m:r>
            <m:sSubSup>
              <m:e>
                <m:r>
                  <m:t>c</m:t>
                </m:r>
              </m:e>
              <m:sub>
                <m:r>
                  <m:t>o</m:t>
                </m:r>
              </m:sub>
              <m:sup>
                <m:r>
                  <m:rPr>
                    <m:sty m:val="p"/>
                  </m:rPr>
                  <m:t>⋆</m:t>
                </m:r>
              </m:sup>
            </m:sSubSup>
            <m:r>
              <m:rPr>
                <m:sty m:val="p"/>
              </m:rPr>
              <m:t>∥</m:t>
            </m:r>
          </m:den>
        </m:f>
        <m:r>
          <m:rPr>
            <m:sty m:val="p"/>
          </m:rPr>
          <m:t>.</m:t>
        </m:r>
      </m:oMath>
      <w:r>
        <w:rPr>
          <w:rFonts w:ascii="Times New Roman" w:hAnsi="Times New Roman" w:eastAsia="宋体"/>
          <w:color w:val="000000"/>
          <w:sz w:val="21"/>
        </w:rPr>
        <w:tab/>
        <w:t>(8)</w:t>
      </w:r>
    </w:p>
    <w:p>
      <w:pPr>
        <w:pStyle w:val="FirstParagraph"/>
        <w:spacing w:line="300" w:lineRule="auto" w:before="0" w:after="0"/>
        <w:ind w:firstLine="420"/>
        <w:jc w:val="both"/>
      </w:pPr>
      <w:r>
        <w:rPr>
          <w:rFonts w:ascii="Times New Roman" w:hAnsi="Times New Roman" w:eastAsia="宋体"/>
          <w:color w:val="000000"/>
          <w:sz w:val="21"/>
        </w:rPr>
        <w:t xml:space="preserve">其中，</w:t>
      </w:r>
      <m:oMath>
        <m:sSubSup>
          <m:e>
            <m:r>
              <m:t>c</m:t>
            </m:r>
          </m:e>
          <m:sub>
            <m:r>
              <m:t>i</m:t>
            </m:r>
          </m:sub>
          <m:sup>
            <m:r>
              <m:rPr>
                <m:sty m:val="p"/>
              </m:rPr>
              <m:t>⋆</m:t>
            </m:r>
          </m:sup>
        </m:sSubSup>
      </m:oMath>
      <w:r>
        <w:rPr>
          <w:rFonts w:ascii="Times New Roman" w:hAnsi="Times New Roman" w:eastAsia="宋体"/>
          <w:color w:val="000000"/>
          <w:sz w:val="21"/>
        </w:rPr>
        <w:t xml:space="preserve"> </w:t>
      </w:r>
      <w:r>
        <w:rPr>
          <w:rFonts w:ascii="Times New Roman" w:hAnsi="Times New Roman" w:eastAsia="宋体"/>
          <w:color w:val="000000"/>
          <w:sz w:val="21"/>
        </w:rPr>
        <w:t xml:space="preserve">与</w:t>
      </w:r>
      <w:r>
        <w:rPr>
          <w:rFonts w:ascii="Times New Roman" w:hAnsi="Times New Roman" w:eastAsia="宋体"/>
          <w:color w:val="000000"/>
          <w:sz w:val="21"/>
        </w:rPr>
        <w:t xml:space="preserve"> </w:t>
      </w:r>
      <m:oMath>
        <m:sSubSup>
          <m:e>
            <m:r>
              <m:t>c</m:t>
            </m:r>
          </m:e>
          <m:sub>
            <m:r>
              <m:t>o</m:t>
            </m:r>
          </m:sub>
          <m:sup>
            <m:r>
              <m:rPr>
                <m:sty m:val="p"/>
              </m:rPr>
              <m:t>⋆</m:t>
            </m:r>
          </m:sup>
        </m:sSubSup>
      </m:oMath>
      <w:r>
        <w:rPr>
          <w:rFonts w:ascii="Times New Roman" w:hAnsi="Times New Roman" w:eastAsia="宋体"/>
          <w:color w:val="000000"/>
          <w:sz w:val="21"/>
        </w:rPr>
        <w:t xml:space="preserve"> </w:t>
      </w:r>
      <w:r>
        <w:rPr>
          <w:rFonts w:ascii="Times New Roman" w:hAnsi="Times New Roman" w:eastAsia="宋体"/>
          <w:color w:val="000000"/>
          <w:sz w:val="21"/>
        </w:rPr>
        <w:t xml:space="preserve">为主导胶囊线段上的最近点，</w:t>
      </w:r>
      <m:oMath>
        <m:r>
          <m:t>n</m:t>
        </m:r>
      </m:oMath>
      <w:r>
        <w:rPr>
          <w:rFonts w:ascii="Times New Roman" w:hAnsi="Times New Roman" w:eastAsia="宋体"/>
          <w:color w:val="000000"/>
          <w:sz w:val="21"/>
        </w:rPr>
        <w:t xml:space="preserve"> </w:t>
      </w:r>
      <w:r>
        <w:rPr>
          <w:rFonts w:ascii="Times New Roman" w:hAnsi="Times New Roman" w:eastAsia="宋体"/>
          <w:color w:val="000000"/>
          <w:sz w:val="21"/>
        </w:rPr>
        <w:t xml:space="preserve">指向远离障碍物的分离方向。被抓取工具在夹爪闭合且位于 TCP 邻域内时加入活动胶囊集合，使细长工具带来的额外扫掠体积能够进入避障判断。</w:t>
      </w:r>
    </w:p>
    <w:p>
      <w:pPr>
        <w:pStyle w:val="BodyText"/>
        <w:spacing w:line="300" w:lineRule="auto" w:before="0" w:after="0"/>
        <w:ind w:firstLine="420"/>
        <w:jc w:val="both"/>
      </w:pPr>
      <w:r>
        <w:rPr>
          <w:rFonts w:ascii="Times New Roman" w:hAnsi="Times New Roman" w:eastAsia="宋体"/>
          <w:color w:val="000000"/>
          <w:sz w:val="21"/>
        </w:rPr>
        <w:t xml:space="preserve">固定安全距离在目标邻近障碍物时容易造成过度干预。为此，本文根据 TCP 到放置目标的距离</w:t>
      </w:r>
      <w:r>
        <w:rPr>
          <w:rFonts w:ascii="Times New Roman" w:hAnsi="Times New Roman" w:eastAsia="宋体"/>
          <w:color w:val="000000"/>
          <w:sz w:val="21"/>
        </w:rPr>
        <w:t xml:space="preserve"> </w:t>
      </w:r>
      <m:oMath>
        <m:r>
          <m:t>ρ</m:t>
        </m:r>
      </m:oMath>
      <w:r>
        <w:rPr>
          <w:rFonts w:ascii="Times New Roman" w:hAnsi="Times New Roman" w:eastAsia="宋体"/>
          <w:color w:val="000000"/>
          <w:sz w:val="21"/>
        </w:rPr>
        <w:t xml:space="preserve"> </w:t>
      </w:r>
      <w:r>
        <w:rPr>
          <w:rFonts w:ascii="Times New Roman" w:hAnsi="Times New Roman" w:eastAsia="宋体"/>
          <w:color w:val="000000"/>
          <w:sz w:val="21"/>
        </w:rPr>
        <w:t xml:space="preserve">调节安全裕度</w:t>
      </w:r>
      <w:r>
        <w:rPr>
          <w:rFonts w:ascii="Times New Roman" w:hAnsi="Times New Roman" w:eastAsia="宋体"/>
          <w:color w:val="000000"/>
          <w:sz w:val="21"/>
        </w:rPr>
        <w:t xml:space="preserve"> </w:t>
      </w:r>
      <m:oMath>
        <m:r>
          <m:t>δ</m:t>
        </m:r>
      </m:oMath>
      <w:r>
        <w:rPr>
          <w:rFonts w:ascii="Times New Roman" w:hAnsi="Times New Roman" w:eastAsia="宋体"/>
          <w:color w:val="000000"/>
          <w:sz w:val="21"/>
        </w:rPr>
        <w:t xml:space="preserve">，并将激活权重</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ascii="Times New Roman" w:hAnsi="Times New Roman" w:eastAsia="宋体"/>
          <w:color w:val="000000"/>
          <w:sz w:val="21"/>
        </w:rPr>
        <w:t xml:space="preserve">分解为三个相乘因子：障碍接近因子</w:t>
      </w:r>
      <w:r>
        <w:rPr>
          <w:rFonts w:ascii="Times New Roman" w:hAnsi="Times New Roman" w:eastAsia="宋体"/>
          <w:color w:val="000000"/>
          <w:sz w:val="21"/>
        </w:rPr>
        <w:t xml:space="preserve"> </w:t>
      </w:r>
      <m:oMath>
        <m:sSub>
          <m:e>
            <m:r>
              <m:t>μ</m:t>
            </m:r>
          </m:e>
          <m:sub>
            <m:r>
              <m:t>d</m:t>
            </m:r>
          </m:sub>
        </m:sSub>
      </m:oMath>
      <w:r>
        <w:rPr>
          <w:rFonts w:ascii="Times New Roman" w:hAnsi="Times New Roman" w:eastAsia="宋体"/>
          <w:color w:val="000000"/>
          <w:sz w:val="21"/>
        </w:rPr>
        <w:t xml:space="preserve">、目标邻域衰减因子</w:t>
      </w:r>
      <w:r>
        <w:rPr>
          <w:rFonts w:ascii="Times New Roman" w:hAnsi="Times New Roman" w:eastAsia="宋体"/>
          <w:color w:val="000000"/>
          <w:sz w:val="21"/>
        </w:rPr>
        <w:t xml:space="preserve"> </w:t>
      </w:r>
      <m:oMath>
        <m:sSub>
          <m:e>
            <m:r>
              <m:t>μ</m:t>
            </m:r>
          </m:e>
          <m:sub>
            <m:r>
              <m:t>g</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和初始渐入因子</w:t>
      </w:r>
      <w:r>
        <w:rPr>
          <w:rFonts w:ascii="Times New Roman" w:hAnsi="Times New Roman" w:eastAsia="宋体"/>
          <w:color w:val="000000"/>
          <w:sz w:val="21"/>
        </w:rPr>
        <w:t xml:space="preserve"> </w:t>
      </w:r>
      <m:oMath>
        <m:sSub>
          <m:e>
            <m:r>
              <m:t>μ</m:t>
            </m:r>
          </m:e>
          <m:sub>
            <m:r>
              <m:t>s</m:t>
            </m:r>
          </m:sub>
        </m:sSub>
      </m:oMath>
      <w:r>
        <w:rPr>
          <w:rFonts w:ascii="Times New Roman" w:hAnsi="Times New Roman" w:eastAsia="宋体"/>
          <w:color w:val="000000"/>
          <w:sz w:val="21"/>
        </w:rPr>
        <w:t xml:space="preserve">，从而分别编码距离风险、目标接近程度与启动阶段。</w:t>
      </w:r>
    </w:p>
    <w:p>
      <w:pPr>
        <w:pStyle w:val="BodyText"/>
        <w:tabs>
          <w:tab w:pos="4535" w:val="center"/>
          <w:tab w:pos="9070" w:val="right"/>
        </w:tabs>
        <w:spacing w:before="60" w:after="60"/>
        <w:jc w:val="left"/>
      </w:pPr>
      <w:r>
        <w:rPr>
          <w:rFonts w:ascii="Times New Roman" w:hAnsi="Times New Roman" w:eastAsia="宋体"/>
          <w:color w:val="000000"/>
          <w:sz w:val="21"/>
        </w:rPr>
        <w:tab/>
      </w:r>
      <m:oMath>
        <m:r>
          <m:t>δ</m:t>
        </m:r>
        <m:r>
          <m:rPr>
            <m:sty m:val="p"/>
          </m:rPr>
          <m:t>=</m:t>
        </m:r>
        <m:r>
          <m:rPr>
            <m:sty m:val="p"/>
          </m:rPr>
          <m:t>clip</m:t>
        </m:r>
        <m:d>
          <m:dPr>
            <m:begChr m:val="("/>
            <m:endChr m:val=")"/>
            <m:sepChr m:val=""/>
            <m:grow/>
          </m:dPr>
          <m:e>
            <m:sSub>
              <m:e>
                <m:r>
                  <m:t>δ</m:t>
                </m:r>
              </m:e>
              <m:sub>
                <m:r>
                  <m:t>0</m:t>
                </m:r>
              </m:sub>
            </m:sSub>
            <m:r>
              <m:rPr>
                <m:sty m:val="p"/>
              </m:rPr>
              <m:t>+</m:t>
            </m:r>
            <m:r>
              <m:t>κ</m:t>
            </m:r>
            <m:r>
              <m:t>ρ</m:t>
            </m:r>
            <m:r>
              <m:rPr>
                <m:sty m:val="p"/>
              </m:rPr>
              <m:t>,</m:t>
            </m:r>
            <m:sSub>
              <m:e>
                <m:r>
                  <m:t>δ</m:t>
                </m:r>
              </m:e>
              <m:sub>
                <m:r>
                  <m:rPr>
                    <m:sty m:val="p"/>
                  </m:rPr>
                  <m:t>min</m:t>
                </m:r>
              </m:sub>
            </m:sSub>
            <m:r>
              <m:rPr>
                <m:sty m:val="p"/>
              </m:rPr>
              <m:t>,</m:t>
            </m:r>
            <m:sSub>
              <m:e>
                <m:r>
                  <m:t>δ</m:t>
                </m:r>
              </m:e>
              <m:sub>
                <m:r>
                  <m:rPr>
                    <m:sty m:val="p"/>
                  </m:rPr>
                  <m:t>max</m:t>
                </m:r>
              </m:sub>
            </m:sSub>
          </m:e>
        </m:d>
      </m:oMath>
      <w:r>
        <w:rPr>
          <w:rFonts w:ascii="Times New Roman" w:hAnsi="Times New Roman" w:eastAsia="宋体"/>
          <w:color w:val="000000"/>
          <w:sz w:val="21"/>
        </w:rPr>
        <w:tab/>
        <w:t>(9)</w:t>
      </w:r>
    </w:p>
    <w:p>
      <w:pPr>
        <w:pStyle w:val="FirstParagraph"/>
        <w:tabs>
          <w:tab w:pos="4535" w:val="center"/>
          <w:tab w:pos="9070" w:val="right"/>
        </w:tabs>
        <w:spacing w:before="60" w:after="60"/>
        <w:jc w:val="left"/>
      </w:pPr>
      <w:r>
        <w:rPr>
          <w:rFonts w:ascii="Times New Roman" w:hAnsi="Times New Roman" w:eastAsia="宋体"/>
          <w:color w:val="000000"/>
          <w:sz w:val="21"/>
        </w:rPr>
        <w:tab/>
      </w:r>
      <m:oMath>
        <m:r>
          <m:t>μ</m:t>
        </m:r>
        <m:r>
          <m:rPr>
            <m:sty m:val="p"/>
          </m:rPr>
          <m:t>=</m:t>
        </m:r>
        <m:sSub>
          <m:e>
            <m:r>
              <m:t>μ</m:t>
            </m:r>
          </m:e>
          <m:sub>
            <m:r>
              <m:t>d</m:t>
            </m:r>
          </m:sub>
        </m:sSub>
        <m:sSub>
          <m:e>
            <m:r>
              <m:t>μ</m:t>
            </m:r>
          </m:e>
          <m:sub>
            <m:r>
              <m:t>g</m:t>
            </m:r>
          </m:sub>
        </m:sSub>
        <m:sSub>
          <m:e>
            <m:r>
              <m:t>μ</m:t>
            </m:r>
          </m:e>
          <m:sub>
            <m:r>
              <m:t>s</m:t>
            </m:r>
          </m:sub>
        </m:sSub>
      </m:oMath>
      <w:r>
        <w:rPr>
          <w:rFonts w:ascii="Times New Roman" w:hAnsi="Times New Roman" w:eastAsia="宋体"/>
          <w:color w:val="000000"/>
          <w:sz w:val="21"/>
        </w:rPr>
        <w:tab/>
        <w:t>(10a)</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μ</m:t>
            </m:r>
          </m:e>
          <m:sub>
            <m:r>
              <m:t>d</m:t>
            </m:r>
          </m:sub>
        </m:sSub>
        <m:r>
          <m:rPr>
            <m:sty m:val="p"/>
          </m:rPr>
          <m:t>=</m:t>
        </m:r>
        <m:sSup>
          <m:e>
            <m:d>
              <m:dPr>
                <m:begChr m:val="["/>
                <m:endChr m:val="]"/>
                <m:sepChr m:val=""/>
                <m:grow/>
              </m:dPr>
              <m:e>
                <m:f>
                  <m:fPr>
                    <m:type m:val="bar"/>
                  </m:fPr>
                  <m:num>
                    <m:r>
                      <m:t>δ</m:t>
                    </m:r>
                    <m:r>
                      <m:rPr>
                        <m:sty m:val="p"/>
                      </m:rPr>
                      <m:t>−</m:t>
                    </m:r>
                    <m:r>
                      <m:rPr>
                        <m:sty m:val="p"/>
                      </m:rPr>
                      <m:t>max</m:t>
                    </m:r>
                    <m:d>
                      <m:dPr>
                        <m:begChr m:val="("/>
                        <m:endChr m:val=")"/>
                        <m:sepChr m:val=""/>
                        <m:grow/>
                      </m:dPr>
                      <m:e>
                        <m:sSub>
                          <m:e>
                            <m:r>
                              <m:t>d</m:t>
                            </m:r>
                          </m:e>
                          <m:sub>
                            <m:r>
                              <m:rPr>
                                <m:sty m:val="p"/>
                              </m:rPr>
                              <m:t>min</m:t>
                            </m:r>
                          </m:sub>
                        </m:sSub>
                        <m:r>
                          <m:rPr>
                            <m:sty m:val="p"/>
                          </m:rPr>
                          <m:t>,</m:t>
                        </m:r>
                        <m:r>
                          <m:t>0</m:t>
                        </m:r>
                      </m:e>
                    </m:d>
                  </m:num>
                  <m:den>
                    <m:r>
                      <m:t>δ</m:t>
                    </m:r>
                  </m:den>
                </m:f>
              </m:e>
            </m:d>
          </m:e>
          <m:sup>
            <m:r>
              <m:t>2</m:t>
            </m:r>
          </m:sup>
        </m:sSup>
      </m:oMath>
      <w:r>
        <w:rPr>
          <w:rFonts w:ascii="Times New Roman" w:hAnsi="Times New Roman" w:eastAsia="宋体"/>
          <w:color w:val="000000"/>
          <w:sz w:val="21"/>
        </w:rPr>
        <w:tab/>
        <w:t>(10b)</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μ</m:t>
            </m:r>
          </m:e>
          <m:sub>
            <m:r>
              <m:t>g</m:t>
            </m:r>
          </m:sub>
        </m:sSub>
        <m:r>
          <m:rPr>
            <m:sty m:val="p"/>
          </m:rPr>
          <m:t>=</m:t>
        </m:r>
        <m:r>
          <m:rPr>
            <m:sty m:val="p"/>
          </m:rPr>
          <m:t>clip</m:t>
        </m:r>
        <m:d>
          <m:dPr>
            <m:begChr m:val="("/>
            <m:endChr m:val=")"/>
            <m:sepChr m:val=""/>
            <m:grow/>
          </m:dPr>
          <m:e>
            <m:f>
              <m:fPr>
                <m:type m:val="bar"/>
              </m:fPr>
              <m:num>
                <m:r>
                  <m:t>ρ</m:t>
                </m:r>
                <m:r>
                  <m:rPr>
                    <m:sty m:val="p"/>
                  </m:rPr>
                  <m:t>−</m:t>
                </m:r>
                <m:sSub>
                  <m:e>
                    <m:r>
                      <m:t>ρ</m:t>
                    </m:r>
                  </m:e>
                  <m:sub>
                    <m:r>
                      <m:t>0</m:t>
                    </m:r>
                  </m:sub>
                </m:sSub>
              </m:num>
              <m:den>
                <m:r>
                  <m:t>Δ</m:t>
                </m:r>
                <m:r>
                  <m:t>ρ</m:t>
                </m:r>
              </m:den>
            </m:f>
            <m:r>
              <m:rPr>
                <m:sty m:val="p"/>
              </m:rPr>
              <m:t>,</m:t>
            </m:r>
            <m:r>
              <m:t>0</m:t>
            </m:r>
            <m:r>
              <m:rPr>
                <m:sty m:val="p"/>
              </m:rPr>
              <m:t>,</m:t>
            </m:r>
            <m:r>
              <m:t>1</m:t>
            </m:r>
          </m:e>
        </m:d>
      </m:oMath>
      <w:r>
        <w:rPr>
          <w:rFonts w:ascii="Times New Roman" w:hAnsi="Times New Roman" w:eastAsia="宋体"/>
          <w:color w:val="000000"/>
          <w:sz w:val="21"/>
        </w:rPr>
        <w:tab/>
        <w:t>(10c)</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μ</m:t>
            </m:r>
          </m:e>
          <m:sub>
            <m:r>
              <m:t>s</m:t>
            </m:r>
          </m:sub>
        </m:sSub>
        <m:r>
          <m:rPr>
            <m:sty m:val="p"/>
          </m:rPr>
          <m:t>=</m:t>
        </m:r>
        <m:r>
          <m:rPr>
            <m:sty m:val="p"/>
          </m:rPr>
          <m:t>clip</m:t>
        </m:r>
        <m:d>
          <m:dPr>
            <m:begChr m:val="("/>
            <m:endChr m:val=")"/>
            <m:sepChr m:val=""/>
            <m:grow/>
          </m:dPr>
          <m:e>
            <m:f>
              <m:fPr>
                <m:type m:val="bar"/>
              </m:fPr>
              <m:num>
                <m:r>
                  <m:t>k</m:t>
                </m:r>
              </m:num>
              <m:den>
                <m:sSub>
                  <m:e>
                    <m:r>
                      <m:t>K</m:t>
                    </m:r>
                  </m:e>
                  <m:sub>
                    <m:r>
                      <m:t>0</m:t>
                    </m:r>
                  </m:sub>
                </m:sSub>
              </m:den>
            </m:f>
            <m:r>
              <m:rPr>
                <m:sty m:val="p"/>
              </m:rPr>
              <m:t>,</m:t>
            </m:r>
            <m:r>
              <m:t>0</m:t>
            </m:r>
            <m:r>
              <m:rPr>
                <m:sty m:val="p"/>
              </m:rPr>
              <m:t>,</m:t>
            </m:r>
            <m:r>
              <m:t>1</m:t>
            </m:r>
          </m:e>
        </m:d>
        <m:r>
          <m:rPr>
            <m:sty m:val="p"/>
          </m:rPr>
          <m:t>,</m:t>
        </m:r>
        <m:r>
          <m:t>  </m:t>
        </m:r>
        <m:sSub>
          <m:e>
            <m:r>
              <m:t>d</m:t>
            </m:r>
          </m:e>
          <m:sub>
            <m:r>
              <m:rPr>
                <m:sty m:val="p"/>
              </m:rPr>
              <m:t>min</m:t>
            </m:r>
          </m:sub>
        </m:sSub>
        <m:r>
          <m:rPr>
            <m:sty m:val="p"/>
          </m:rPr>
          <m:t>&lt;</m:t>
        </m:r>
        <m:r>
          <m:t>δ</m:t>
        </m:r>
      </m:oMath>
      <w:r>
        <w:rPr>
          <w:rFonts w:ascii="Times New Roman" w:hAnsi="Times New Roman" w:eastAsia="宋体"/>
          <w:color w:val="000000"/>
          <w:sz w:val="21"/>
        </w:rPr>
        <w:tab/>
        <w:t>(10d)</w:t>
      </w:r>
    </w:p>
    <w:p>
      <w:pPr>
        <w:pStyle w:val="FirstParagraph"/>
        <w:spacing w:line="300" w:lineRule="auto" w:before="0" w:after="0"/>
        <w:ind w:firstLine="420"/>
        <w:jc w:val="both"/>
      </w:pPr>
      <w:r>
        <w:rPr>
          <w:rFonts w:ascii="Times New Roman" w:hAnsi="Times New Roman" w:eastAsia="宋体"/>
          <w:color w:val="000000"/>
          <w:sz w:val="21"/>
        </w:rPr>
        <w:t xml:space="preserve">当</w:t>
      </w:r>
      <w:r>
        <w:rPr>
          <w:rFonts w:ascii="Times New Roman" w:hAnsi="Times New Roman" w:eastAsia="宋体"/>
          <w:color w:val="000000"/>
          <w:sz w:val="21"/>
        </w:rPr>
        <w:t xml:space="preserve"> </w:t>
      </w:r>
      <m:oMath>
        <m:sSub>
          <m:e>
            <m:r>
              <m:t>d</m:t>
            </m:r>
          </m:e>
          <m:sub>
            <m:r>
              <m:rPr>
                <m:sty m:val="p"/>
              </m:rPr>
              <m:t>min</m:t>
            </m:r>
          </m:sub>
        </m:sSub>
        <m:r>
          <m:rPr>
            <m:sty m:val="p"/>
          </m:rPr>
          <m:t>≥</m:t>
        </m:r>
        <m:r>
          <m:t>δ</m:t>
        </m:r>
      </m:oMath>
      <w:r>
        <w:rPr>
          <w:rFonts w:ascii="Times New Roman" w:hAnsi="Times New Roman" w:eastAsia="宋体"/>
          <w:color w:val="000000"/>
          <w:sz w:val="21"/>
        </w:rPr>
        <w:t xml:space="preserve"> </w:t>
      </w:r>
      <w:r>
        <w:rPr>
          <w:rFonts w:ascii="Times New Roman" w:hAnsi="Times New Roman" w:eastAsia="宋体"/>
          <w:color w:val="000000"/>
          <w:sz w:val="21"/>
        </w:rPr>
        <w:t xml:space="preserve">时，令</w:t>
      </w:r>
      <w:r>
        <w:rPr>
          <w:rFonts w:ascii="Times New Roman" w:hAnsi="Times New Roman" w:eastAsia="宋体"/>
          <w:color w:val="000000"/>
          <w:sz w:val="21"/>
        </w:rPr>
        <w:t xml:space="preserve"> </w:t>
      </w:r>
      <m:oMath>
        <m:r>
          <m:t>μ</m:t>
        </m:r>
        <m:r>
          <m:rPr>
            <m:sty m:val="p"/>
          </m:rPr>
          <m:t>=</m:t>
        </m:r>
        <m:r>
          <m:t>0</m:t>
        </m:r>
      </m:oMath>
      <w:r>
        <w:rPr>
          <w:rFonts w:ascii="Times New Roman" w:hAnsi="Times New Roman" w:eastAsia="宋体"/>
          <w:color w:val="000000"/>
          <w:sz w:val="21"/>
        </w:rPr>
        <w:t xml:space="preserve">。</w:t>
      </w:r>
    </w:p>
    <w:p>
      <w:pPr>
        <w:pStyle w:val="BodyText"/>
        <w:spacing w:line="300" w:lineRule="auto" w:before="0" w:after="0"/>
        <w:ind w:firstLine="420"/>
        <w:jc w:val="both"/>
      </w:pPr>
      <w:r>
        <w:rPr>
          <w:rFonts w:ascii="Times New Roman" w:hAnsi="Times New Roman" w:eastAsia="宋体"/>
          <w:color w:val="000000"/>
          <w:sz w:val="21"/>
        </w:rPr>
        <w:t xml:space="preserve">因此，远离放置目标时模块保留较大的安全裕度；接近目标后，安全裕度收缩至预设下界，同时干预权重逐渐减弱。当</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ascii="Times New Roman" w:hAnsi="Times New Roman" w:eastAsia="宋体"/>
          <w:color w:val="000000"/>
          <w:sz w:val="21"/>
        </w:rPr>
        <w:t xml:space="preserve">小于设定阈值时不执行修正，以避免微小扰动持续叠加。</w:t>
      </w:r>
    </w:p>
    <w:p>
      <w:pPr>
        <w:pStyle w:val="BodyText"/>
        <w:spacing w:line="300" w:lineRule="auto" w:before="0" w:after="0"/>
        <w:ind w:firstLine="420"/>
        <w:jc w:val="both"/>
      </w:pPr>
      <w:r>
        <w:rPr>
          <w:rFonts w:ascii="Times New Roman" w:hAnsi="Times New Roman" w:eastAsia="宋体"/>
          <w:color w:val="000000"/>
          <w:sz w:val="21"/>
        </w:rPr>
        <w:t xml:space="preserve">避障修正直接作用于 VLA 输出对应的单步笛卡尔运动增量。记</w:t>
      </w:r>
      <w:r>
        <w:rPr>
          <w:rFonts w:ascii="Times New Roman" w:hAnsi="Times New Roman" w:eastAsia="宋体"/>
          <w:color w:val="000000"/>
          <w:sz w:val="21"/>
        </w:rPr>
        <w:t xml:space="preserve"> </w:t>
      </w:r>
      <m:oMath>
        <m:sSub>
          <m:e>
            <m:r>
              <m:t>ξ</m:t>
            </m:r>
          </m:e>
          <m:sub>
            <m:r>
              <m:rPr>
                <m:sty m:val="p"/>
              </m:rPr>
              <m:t>v</m:t>
            </m:r>
            <m:r>
              <m:rPr>
                <m:sty m:val="p"/>
              </m:rPr>
              <m:t>l</m:t>
            </m:r>
            <m:r>
              <m:rPr>
                <m:sty m:val="p"/>
              </m:rPr>
              <m:t>a</m:t>
            </m:r>
          </m:sub>
        </m:sSub>
        <m:r>
          <m:rPr>
            <m:sty m:val="p"/>
          </m:rPr>
          <m:t>=</m:t>
        </m:r>
        <m:sSub>
          <m:e>
            <m:r>
              <m:t>J</m:t>
            </m:r>
          </m:e>
          <m:sub>
            <m:r>
              <m:t>b</m:t>
            </m:r>
          </m:sub>
        </m:sSub>
        <m:r>
          <m:t>Δ</m:t>
        </m:r>
        <m:sSub>
          <m:e>
            <m:r>
              <m:t>q</m:t>
            </m:r>
          </m:e>
          <m:sub>
            <m:r>
              <m:rPr>
                <m:sty m:val="p"/>
              </m:rPr>
              <m:t>v</m:t>
            </m:r>
            <m:r>
              <m:rPr>
                <m:sty m:val="p"/>
              </m:rPr>
              <m:t>l</m:t>
            </m:r>
            <m:r>
              <m:rPr>
                <m:sty m:val="p"/>
              </m:rPr>
              <m:t>a</m:t>
            </m:r>
          </m:sub>
        </m:sSub>
      </m:oMath>
      <w:r>
        <w:rPr>
          <w:rFonts w:ascii="Times New Roman" w:hAnsi="Times New Roman" w:eastAsia="宋体"/>
          <w:color w:val="000000"/>
          <w:sz w:val="21"/>
        </w:rPr>
        <w:t xml:space="preserve">，首先移除其中指向障碍物的法向分量，再叠加有界的抬升、向内回缩和径向分离增量：</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ξ</m:t>
            </m:r>
          </m:e>
          <m:sub>
            <m:r>
              <m:rPr>
                <m:sty m:val="p"/>
              </m:rPr>
              <m:t>p</m:t>
            </m:r>
            <m:r>
              <m:rPr>
                <m:sty m:val="p"/>
              </m:rPr>
              <m:t>r</m:t>
            </m:r>
            <m:r>
              <m:rPr>
                <m:sty m:val="p"/>
              </m:rPr>
              <m:t>o</m:t>
            </m:r>
            <m:r>
              <m:rPr>
                <m:sty m:val="p"/>
              </m:rPr>
              <m:t>j</m:t>
            </m:r>
          </m:sub>
        </m:sSub>
        <m:r>
          <m:rPr>
            <m:sty m:val="p"/>
          </m:rPr>
          <m:t>=</m:t>
        </m:r>
        <m:sSub>
          <m:e>
            <m:r>
              <m:t>ξ</m:t>
            </m:r>
          </m:e>
          <m:sub>
            <m:r>
              <m:rPr>
                <m:sty m:val="p"/>
              </m:rPr>
              <m:t>v</m:t>
            </m:r>
            <m:r>
              <m:rPr>
                <m:sty m:val="p"/>
              </m:rPr>
              <m:t>l</m:t>
            </m:r>
            <m:r>
              <m:rPr>
                <m:sty m:val="p"/>
              </m:rPr>
              <m:t>a</m:t>
            </m:r>
          </m:sub>
        </m:sSub>
        <m:r>
          <m:rPr>
            <m:sty m:val="p"/>
          </m:rPr>
          <m:t>−</m:t>
        </m:r>
        <m:r>
          <m:rPr>
            <m:sty m:val="p"/>
          </m:rPr>
          <m:t>min</m:t>
        </m:r>
        <m:d>
          <m:dPr>
            <m:begChr m:val="("/>
            <m:endChr m:val=")"/>
            <m:sepChr m:val=""/>
            <m:grow/>
          </m:dPr>
          <m:e>
            <m:sSubSup>
              <m:e>
                <m:r>
                  <m:t>ξ</m:t>
                </m:r>
              </m:e>
              <m:sub>
                <m:r>
                  <m:rPr>
                    <m:sty m:val="p"/>
                  </m:rPr>
                  <m:t>v</m:t>
                </m:r>
                <m:r>
                  <m:rPr>
                    <m:sty m:val="p"/>
                  </m:rPr>
                  <m:t>l</m:t>
                </m:r>
                <m:r>
                  <m:rPr>
                    <m:sty m:val="p"/>
                  </m:rPr>
                  <m:t>a</m:t>
                </m:r>
              </m:sub>
              <m:sup>
                <m:r>
                  <m:rPr>
                    <m:sty m:val="p"/>
                    <m:scr m:val="sans-serif"/>
                  </m:rPr>
                  <m:t>T</m:t>
                </m:r>
              </m:sup>
            </m:sSubSup>
            <m:r>
              <m:t>n</m:t>
            </m:r>
            <m:r>
              <m:rPr>
                <m:sty m:val="p"/>
              </m:rPr>
              <m:t>,</m:t>
            </m:r>
            <m:r>
              <m:t>0</m:t>
            </m:r>
          </m:e>
        </m:d>
        <m:r>
          <m:t>n</m:t>
        </m:r>
      </m:oMath>
      <w:r>
        <w:rPr>
          <w:rFonts w:ascii="Times New Roman" w:hAnsi="Times New Roman" w:eastAsia="宋体"/>
          <w:color w:val="000000"/>
          <w:sz w:val="21"/>
        </w:rPr>
        <w:tab/>
        <w:t>(11)</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ξ</m:t>
            </m:r>
          </m:e>
          <m:sub>
            <m:r>
              <m:rPr>
                <m:sty m:val="p"/>
              </m:rPr>
              <m:t>s</m:t>
            </m:r>
            <m:r>
              <m:rPr>
                <m:sty m:val="p"/>
              </m:rPr>
              <m:t>a</m:t>
            </m:r>
            <m:r>
              <m:rPr>
                <m:sty m:val="p"/>
              </m:rPr>
              <m:t>f</m:t>
            </m:r>
            <m:r>
              <m:rPr>
                <m:sty m:val="p"/>
              </m:rPr>
              <m:t>e</m:t>
            </m:r>
          </m:sub>
        </m:sSub>
        <m:r>
          <m:rPr>
            <m:sty m:val="p"/>
          </m:rPr>
          <m:t>=</m:t>
        </m:r>
        <m:sSub>
          <m:e>
            <m:r>
              <m:t>ξ</m:t>
            </m:r>
          </m:e>
          <m:sub>
            <m:r>
              <m:rPr>
                <m:sty m:val="p"/>
              </m:rPr>
              <m:t>p</m:t>
            </m:r>
            <m:r>
              <m:rPr>
                <m:sty m:val="p"/>
              </m:rPr>
              <m:t>r</m:t>
            </m:r>
            <m:r>
              <m:rPr>
                <m:sty m:val="p"/>
              </m:rPr>
              <m:t>o</m:t>
            </m:r>
            <m:r>
              <m:rPr>
                <m:sty m:val="p"/>
              </m:rPr>
              <m:t>j</m:t>
            </m:r>
          </m:sub>
        </m:sSub>
        <m:r>
          <m:rPr>
            <m:sty m:val="p"/>
          </m:rPr>
          <m:t>+</m:t>
        </m:r>
        <m:r>
          <m:t>μ</m:t>
        </m:r>
        <m:d>
          <m:dPr>
            <m:begChr m:val="("/>
            <m:endChr m:val=")"/>
            <m:sepChr m:val=""/>
            <m:grow/>
          </m:dPr>
          <m:e>
            <m:sSub>
              <m:e>
                <m:r>
                  <m:t>w</m:t>
                </m:r>
              </m:e>
              <m:sub>
                <m:r>
                  <m:t>u</m:t>
                </m:r>
              </m:sub>
            </m:sSub>
            <m:sSub>
              <m:e>
                <m:acc>
                  <m:accPr>
                    <m:chr m:val="̂"/>
                  </m:accPr>
                  <m:e>
                    <m:r>
                      <m:t>e</m:t>
                    </m:r>
                  </m:e>
                </m:acc>
              </m:e>
              <m:sub>
                <m:r>
                  <m:rPr>
                    <m:sty m:val="p"/>
                  </m:rPr>
                  <m:t>u</m:t>
                </m:r>
                <m:r>
                  <m:rPr>
                    <m:sty m:val="p"/>
                  </m:rPr>
                  <m:t>p</m:t>
                </m:r>
              </m:sub>
            </m:sSub>
            <m:r>
              <m:rPr>
                <m:sty m:val="p"/>
              </m:rPr>
              <m:t>+</m:t>
            </m:r>
            <m:sSub>
              <m:e>
                <m:r>
                  <m:t>w</m:t>
                </m:r>
              </m:e>
              <m:sub>
                <m:r>
                  <m:t>r</m:t>
                </m:r>
              </m:sub>
            </m:sSub>
            <m:sSub>
              <m:e>
                <m:acc>
                  <m:accPr>
                    <m:chr m:val="̂"/>
                  </m:accPr>
                  <m:e>
                    <m:r>
                      <m:t>e</m:t>
                    </m:r>
                  </m:e>
                </m:acc>
              </m:e>
              <m:sub>
                <m:r>
                  <m:rPr>
                    <m:sty m:val="p"/>
                  </m:rPr>
                  <m:t>i</m:t>
                </m:r>
                <m:r>
                  <m:rPr>
                    <m:sty m:val="p"/>
                  </m:rPr>
                  <m:t>n</m:t>
                </m:r>
              </m:sub>
            </m:sSub>
            <m:r>
              <m:rPr>
                <m:sty m:val="p"/>
              </m:rPr>
              <m:t>+</m:t>
            </m:r>
            <m:sSub>
              <m:e>
                <m:r>
                  <m:t>w</m:t>
                </m:r>
              </m:e>
              <m:sub>
                <m:r>
                  <m:t>n</m:t>
                </m:r>
              </m:sub>
            </m:sSub>
            <m:r>
              <m:t>n</m:t>
            </m:r>
          </m:e>
        </m:d>
        <m:r>
          <m:rPr>
            <m:sty m:val="p"/>
          </m:rPr>
          <m:t>.</m:t>
        </m:r>
      </m:oMath>
      <w:r>
        <w:rPr>
          <w:rFonts w:ascii="Times New Roman" w:hAnsi="Times New Roman" w:eastAsia="宋体"/>
          <w:color w:val="000000"/>
          <w:sz w:val="21"/>
        </w:rPr>
        <w:tab/>
        <w:t>(12)</w:t>
      </w:r>
    </w:p>
    <w:p>
      <w:pPr>
        <w:pStyle w:val="FirstParagraph"/>
        <w:spacing w:line="300" w:lineRule="auto" w:before="0" w:after="0"/>
        <w:ind w:firstLine="420"/>
        <w:jc w:val="both"/>
      </w:pPr>
      <w:r>
        <w:rPr>
          <w:rFonts w:ascii="Times New Roman" w:hAnsi="Times New Roman" w:eastAsia="宋体"/>
          <w:color w:val="000000"/>
          <w:sz w:val="21"/>
        </w:rPr>
        <w:t xml:space="preserve">其中，</w:t>
      </w:r>
      <m:oMath>
        <m:sSub>
          <m:e>
            <m:acc>
              <m:accPr>
                <m:chr m:val="̂"/>
              </m:accPr>
              <m:e>
                <m:r>
                  <m:t>e</m:t>
                </m:r>
              </m:e>
            </m:acc>
          </m:e>
          <m:sub>
            <m:r>
              <m:rPr>
                <m:sty m:val="p"/>
              </m:rPr>
              <m:t>u</m:t>
            </m:r>
            <m:r>
              <m:rPr>
                <m:sty m:val="p"/>
              </m:rPr>
              <m:t>p</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与</w:t>
      </w:r>
      <w:r>
        <w:rPr>
          <w:rFonts w:ascii="Times New Roman" w:hAnsi="Times New Roman" w:eastAsia="宋体"/>
          <w:color w:val="000000"/>
          <w:sz w:val="21"/>
        </w:rPr>
        <w:t xml:space="preserve"> </w:t>
      </w:r>
      <m:oMath>
        <m:sSub>
          <m:e>
            <m:acc>
              <m:accPr>
                <m:chr m:val="̂"/>
              </m:accPr>
              <m:e>
                <m:r>
                  <m:t>e</m:t>
                </m:r>
              </m:e>
            </m:acc>
          </m:e>
          <m:sub>
            <m:r>
              <m:rPr>
                <m:sty m:val="p"/>
              </m:rPr>
              <m:t>i</m:t>
            </m:r>
            <m:r>
              <m:rPr>
                <m:sty m:val="p"/>
              </m:rPr>
              <m:t>n</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分别表示经过非接近投影后的竖直抬升单位方向和向机器人基座内侧回缩单位方向。这种设计不重新规划完整路径，而是在保留 VLA 原始运动趋势的基础上对局部危险运动进行偏转。</w:t>
      </w:r>
    </w:p>
    <w:p>
      <w:pPr>
        <w:pStyle w:val="BodyText"/>
        <w:spacing w:line="300" w:lineRule="auto" w:before="0" w:after="0"/>
        <w:ind w:firstLine="420"/>
        <w:jc w:val="both"/>
      </w:pPr>
      <w:r>
        <w:rPr>
          <w:rFonts w:ascii="Times New Roman" w:hAnsi="Times New Roman" w:eastAsia="宋体"/>
          <w:color w:val="000000"/>
          <w:sz w:val="21"/>
        </w:rPr>
        <w:t xml:space="preserve">笛卡尔修正同样经 DLS 逆映射到关节空间，并与 VLA 输出关节位移先合成为</w:t>
      </w:r>
      <w:r>
        <w:rPr>
          <w:rFonts w:ascii="Times New Roman" w:hAnsi="Times New Roman" w:eastAsia="宋体"/>
          <w:color w:val="000000"/>
          <w:sz w:val="21"/>
        </w:rPr>
        <w:t xml:space="preserve"> </w:t>
      </w:r>
      <m:oMath>
        <m:r>
          <m:t>Δ</m:t>
        </m:r>
        <m:sSub>
          <m:e>
            <m:r>
              <m:t>q</m:t>
            </m:r>
          </m:e>
          <m:sub>
            <m:r>
              <m:t>c</m:t>
            </m:r>
          </m:sub>
        </m:sSub>
      </m:oMath>
      <w:r>
        <w:rPr>
          <w:rFonts w:ascii="Times New Roman" w:hAnsi="Times New Roman" w:eastAsia="宋体"/>
          <w:color w:val="000000"/>
          <w:sz w:val="21"/>
        </w:rPr>
        <w:t xml:space="preserve">，再进行一阶平滑和单步限幅：</w:t>
      </w:r>
    </w:p>
    <w:p>
      <w:pPr>
        <w:pStyle w:val="BodyText"/>
        <w:tabs>
          <w:tab w:pos="4535" w:val="center"/>
          <w:tab w:pos="9070" w:val="right"/>
        </w:tabs>
        <w:spacing w:before="60" w:after="60"/>
        <w:jc w:val="left"/>
      </w:pPr>
      <w:r>
        <w:rPr>
          <w:rFonts w:ascii="Times New Roman" w:hAnsi="Times New Roman" w:eastAsia="宋体"/>
          <w:color w:val="000000"/>
          <w:sz w:val="21"/>
        </w:rPr>
        <w:tab/>
      </w:r>
      <m:oMath>
        <m:r>
          <m:t>Δ</m:t>
        </m:r>
        <m:sSub>
          <m:e>
            <m:r>
              <m:t>q</m:t>
            </m:r>
          </m:e>
          <m:sub>
            <m:r>
              <m:rPr>
                <m:sty m:val="p"/>
              </m:rPr>
              <m:t>a</m:t>
            </m:r>
            <m:r>
              <m:rPr>
                <m:sty m:val="p"/>
              </m:rPr>
              <m:t>v</m:t>
            </m:r>
            <m:r>
              <m:rPr>
                <m:sty m:val="p"/>
              </m:rPr>
              <m:t>o</m:t>
            </m:r>
          </m:sub>
        </m:sSub>
        <m:r>
          <m:rPr>
            <m:sty m:val="p"/>
          </m:rPr>
          <m:t>=</m:t>
        </m:r>
        <m:sSubSup>
          <m:e>
            <m:r>
              <m:t>J</m:t>
            </m:r>
          </m:e>
          <m:sub>
            <m:r>
              <m:t>b</m:t>
            </m:r>
            <m:r>
              <m:rPr>
                <m:sty m:val="p"/>
              </m:rPr>
              <m:t>,</m:t>
            </m:r>
            <m:r>
              <m:t>ρ</m:t>
            </m:r>
          </m:sub>
          <m:sup>
            <m:r>
              <m:rPr>
                <m:sty m:val="p"/>
              </m:rPr>
              <m:t>†</m:t>
            </m:r>
          </m:sup>
        </m:sSubSup>
        <m:d>
          <m:dPr>
            <m:begChr m:val="("/>
            <m:endChr m:val=")"/>
            <m:sepChr m:val=""/>
            <m:grow/>
          </m:dPr>
          <m:e>
            <m:sSub>
              <m:e>
                <m:r>
                  <m:t>ξ</m:t>
                </m:r>
              </m:e>
              <m:sub>
                <m:r>
                  <m:rPr>
                    <m:sty m:val="p"/>
                  </m:rPr>
                  <m:t>s</m:t>
                </m:r>
                <m:r>
                  <m:rPr>
                    <m:sty m:val="p"/>
                  </m:rPr>
                  <m:t>a</m:t>
                </m:r>
                <m:r>
                  <m:rPr>
                    <m:sty m:val="p"/>
                  </m:rPr>
                  <m:t>f</m:t>
                </m:r>
                <m:r>
                  <m:rPr>
                    <m:sty m:val="p"/>
                  </m:rPr>
                  <m:t>e</m:t>
                </m:r>
              </m:sub>
            </m:sSub>
            <m:r>
              <m:rPr>
                <m:sty m:val="p"/>
              </m:rPr>
              <m:t>−</m:t>
            </m:r>
            <m:sSub>
              <m:e>
                <m:r>
                  <m:t>ξ</m:t>
                </m:r>
              </m:e>
              <m:sub>
                <m:r>
                  <m:rPr>
                    <m:sty m:val="p"/>
                  </m:rPr>
                  <m:t>v</m:t>
                </m:r>
                <m:r>
                  <m:rPr>
                    <m:sty m:val="p"/>
                  </m:rPr>
                  <m:t>l</m:t>
                </m:r>
                <m:r>
                  <m:rPr>
                    <m:sty m:val="p"/>
                  </m:rPr>
                  <m:t>a</m:t>
                </m:r>
              </m:sub>
            </m:sSub>
          </m:e>
        </m:d>
      </m:oMath>
      <w:r>
        <w:rPr>
          <w:rFonts w:ascii="Times New Roman" w:hAnsi="Times New Roman" w:eastAsia="宋体"/>
          <w:color w:val="000000"/>
          <w:sz w:val="21"/>
        </w:rPr>
        <w:tab/>
        <w:t>(13)</w:t>
      </w:r>
    </w:p>
    <w:p>
      <w:pPr>
        <w:pStyle w:val="FirstParagraph"/>
        <w:tabs>
          <w:tab w:pos="4535" w:val="center"/>
          <w:tab w:pos="9070" w:val="right"/>
        </w:tabs>
        <w:spacing w:before="60" w:after="60"/>
        <w:jc w:val="left"/>
      </w:pPr>
      <w:r>
        <w:rPr>
          <w:rFonts w:ascii="Times New Roman" w:hAnsi="Times New Roman" w:eastAsia="宋体"/>
          <w:color w:val="000000"/>
          <w:sz w:val="21"/>
        </w:rPr>
        <w:tab/>
      </w:r>
      <m:oMath>
        <m:r>
          <m:t>Δ</m:t>
        </m:r>
        <m:sSub>
          <m:e>
            <m:r>
              <m:t>q</m:t>
            </m:r>
          </m:e>
          <m:sub>
            <m:r>
              <m:t>c</m:t>
            </m:r>
          </m:sub>
        </m:sSub>
        <m:r>
          <m:rPr>
            <m:sty m:val="p"/>
          </m:rPr>
          <m:t>=</m:t>
        </m:r>
        <m:r>
          <m:t>Δ</m:t>
        </m:r>
        <m:sSub>
          <m:e>
            <m:r>
              <m:t>q</m:t>
            </m:r>
          </m:e>
          <m:sub>
            <m:r>
              <m:rPr>
                <m:sty m:val="p"/>
              </m:rPr>
              <m:t>v</m:t>
            </m:r>
            <m:r>
              <m:rPr>
                <m:sty m:val="p"/>
              </m:rPr>
              <m:t>l</m:t>
            </m:r>
            <m:r>
              <m:rPr>
                <m:sty m:val="p"/>
              </m:rPr>
              <m:t>a</m:t>
            </m:r>
          </m:sub>
        </m:sSub>
        <m:r>
          <m:rPr>
            <m:sty m:val="p"/>
          </m:rPr>
          <m:t>+</m:t>
        </m:r>
        <m:r>
          <m:t>Δ</m:t>
        </m:r>
        <m:sSub>
          <m:e>
            <m:r>
              <m:t>q</m:t>
            </m:r>
          </m:e>
          <m:sub>
            <m:r>
              <m:rPr>
                <m:sty m:val="p"/>
              </m:rPr>
              <m:t>a</m:t>
            </m:r>
            <m:r>
              <m:rPr>
                <m:sty m:val="p"/>
              </m:rPr>
              <m:t>v</m:t>
            </m:r>
            <m:r>
              <m:rPr>
                <m:sty m:val="p"/>
              </m:rPr>
              <m:t>o</m:t>
            </m:r>
          </m:sub>
        </m:sSub>
      </m:oMath>
      <w:r>
        <w:rPr>
          <w:rFonts w:ascii="Times New Roman" w:hAnsi="Times New Roman" w:eastAsia="宋体"/>
          <w:color w:val="000000"/>
          <w:sz w:val="21"/>
        </w:rPr>
        <w:tab/>
        <w:t>(14)</w:t>
      </w:r>
    </w:p>
    <w:p>
      <w:pPr>
        <w:pStyle w:val="FirstParagraph"/>
        <w:tabs>
          <w:tab w:pos="4535" w:val="center"/>
          <w:tab w:pos="9070" w:val="right"/>
        </w:tabs>
        <w:spacing w:before="60" w:after="60"/>
        <w:jc w:val="left"/>
      </w:pPr>
      <w:r>
        <w:rPr>
          <w:rFonts w:ascii="Times New Roman" w:hAnsi="Times New Roman" w:eastAsia="宋体"/>
          <w:color w:val="000000"/>
          <w:sz w:val="21"/>
        </w:rPr>
        <w:tab/>
      </w:r>
      <m:oMath>
        <m:r>
          <m:t>Δ</m:t>
        </m:r>
        <m:r>
          <m:t>q</m:t>
        </m:r>
        <m:r>
          <m:rPr>
            <m:sty m:val="p"/>
          </m:rPr>
          <m:t>=</m:t>
        </m:r>
        <m:r>
          <m:t>β</m:t>
        </m:r>
        <m:r>
          <m:t>Δ</m:t>
        </m:r>
        <m:sSub>
          <m:e>
            <m:r>
              <m:t>q</m:t>
            </m:r>
          </m:e>
          <m:sub>
            <m:r>
              <m:t>c</m:t>
            </m:r>
          </m:sub>
        </m:sSub>
        <m:r>
          <m:rPr>
            <m:sty m:val="p"/>
          </m:rPr>
          <m:t>+</m:t>
        </m:r>
        <m:d>
          <m:dPr>
            <m:begChr m:val="("/>
            <m:endChr m:val=")"/>
            <m:sepChr m:val=""/>
            <m:grow/>
          </m:dPr>
          <m:e>
            <m:r>
              <m:t>1</m:t>
            </m:r>
            <m:r>
              <m:rPr>
                <m:sty m:val="p"/>
              </m:rPr>
              <m:t>−</m:t>
            </m:r>
            <m:r>
              <m:t>β</m:t>
            </m:r>
          </m:e>
        </m:d>
        <m:r>
          <m:t>Δ</m:t>
        </m:r>
        <m:sSup>
          <m:e>
            <m:r>
              <m:t>q</m:t>
            </m:r>
          </m:e>
          <m:sup>
            <m:r>
              <m:rPr>
                <m:sty m:val="p"/>
              </m:rPr>
              <m:t>−</m:t>
            </m:r>
          </m:sup>
        </m:sSup>
      </m:oMath>
      <w:r>
        <w:rPr>
          <w:rFonts w:ascii="Times New Roman" w:hAnsi="Times New Roman" w:eastAsia="宋体"/>
          <w:color w:val="000000"/>
          <w:sz w:val="21"/>
        </w:rPr>
        <w:tab/>
        <w:t>(15)</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u</m:t>
            </m:r>
          </m:e>
          <m:sub>
            <m:r>
              <m:t>1</m:t>
            </m:r>
            <m:r>
              <m:rPr>
                <m:sty m:val="p"/>
              </m:rPr>
              <m:t>:</m:t>
            </m:r>
            <m:r>
              <m:t>6</m:t>
            </m:r>
          </m:sub>
        </m:sSub>
        <m:r>
          <m:rPr>
            <m:sty m:val="p"/>
          </m:rPr>
          <m:t>=</m:t>
        </m:r>
        <m:r>
          <m:t>q</m:t>
        </m:r>
        <m:r>
          <m:rPr>
            <m:sty m:val="p"/>
          </m:rPr>
          <m:t>+</m:t>
        </m:r>
        <m:r>
          <m:rPr>
            <m:sty m:val="p"/>
          </m:rPr>
          <m:t>sat</m:t>
        </m:r>
        <m:d>
          <m:dPr>
            <m:begChr m:val="("/>
            <m:endChr m:val=")"/>
            <m:sepChr m:val=""/>
            <m:grow/>
          </m:dPr>
          <m:e>
            <m:r>
              <m:t>Δ</m:t>
            </m:r>
            <m:r>
              <m:t>q</m:t>
            </m:r>
            <m:r>
              <m:rPr>
                <m:sty m:val="p"/>
              </m:rPr>
              <m:t>,</m:t>
            </m:r>
            <m:r>
              <m:rPr>
                <m:sty m:val="p"/>
              </m:rPr>
              <m:t>±</m:t>
            </m:r>
            <m:sSub>
              <m:e>
                <m:r>
                  <m:t>Δ</m:t>
                </m:r>
              </m:e>
              <m:sub>
                <m:r>
                  <m:rPr>
                    <m:sty m:val="p"/>
                  </m:rPr>
                  <m:t>max</m:t>
                </m:r>
              </m:sub>
            </m:sSub>
          </m:e>
        </m:d>
        <m:r>
          <m:rPr>
            <m:sty m:val="p"/>
          </m:rPr>
          <m:t>.</m:t>
        </m:r>
      </m:oMath>
      <w:r>
        <w:rPr>
          <w:rFonts w:ascii="Times New Roman" w:hAnsi="Times New Roman" w:eastAsia="宋体"/>
          <w:color w:val="000000"/>
          <w:sz w:val="21"/>
        </w:rPr>
        <w:tab/>
        <w:t>(16)</w:t>
      </w:r>
    </w:p>
    <w:p>
      <w:pPr>
        <w:pStyle w:val="FirstParagraph"/>
        <w:spacing w:line="300" w:lineRule="auto" w:before="0" w:after="0"/>
        <w:ind w:firstLine="420"/>
        <w:jc w:val="both"/>
      </w:pPr>
      <w:r>
        <w:rPr>
          <w:rFonts w:ascii="Times New Roman" w:hAnsi="Times New Roman" w:eastAsia="宋体"/>
          <w:color w:val="000000"/>
          <w:sz w:val="21"/>
        </w:rPr>
        <w:t xml:space="preserve">当障碍物未启用、工具尚未进入转运状态或</w:t>
      </w:r>
      <w:r>
        <w:rPr>
          <w:rFonts w:ascii="Times New Roman" w:hAnsi="Times New Roman" w:eastAsia="宋体"/>
          <w:color w:val="000000"/>
          <w:sz w:val="21"/>
        </w:rPr>
        <w:t xml:space="preserve"> </w:t>
      </w:r>
      <m:oMath>
        <m:sSub>
          <m:e>
            <m:r>
              <m:t>d</m:t>
            </m:r>
          </m:e>
          <m:sub>
            <m:r>
              <m:rPr>
                <m:sty m:val="p"/>
              </m:rPr>
              <m:t>min</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不小于当前安全裕度时，</w:t>
      </w:r>
      <m:oMath>
        <m:r>
          <m:t>Δ</m:t>
        </m:r>
        <m:sSub>
          <m:e>
            <m:r>
              <m:t>q</m:t>
            </m:r>
          </m:e>
          <m:sub>
            <m:r>
              <m:rPr>
                <m:sty m:val="p"/>
              </m:rPr>
              <m:t>a</m:t>
            </m:r>
            <m:r>
              <m:rPr>
                <m:sty m:val="p"/>
              </m:rPr>
              <m:t>v</m:t>
            </m:r>
            <m:r>
              <m:rPr>
                <m:sty m:val="p"/>
              </m:rPr>
              <m:t>o</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为零，模块不改变基础策略的运动意图。</w:t>
      </w:r>
    </w:p>
    <w:bookmarkEnd w:id="29"/>
    <w:bookmarkStart w:id="33" w:name="并列组合与风险触发特性"/>
    <w:p>
      <w:pPr>
        <w:pStyle w:val="Heading2"/>
        <w:jc w:val="left"/>
      </w:pPr>
      <w:r>
        <w:t xml:space="preserve">4.4 并列组合与风险触发特性</w:t>
      </w:r>
    </w:p>
    <w:p>
      <w:pPr>
        <w:pStyle w:val="FirstParagraph"/>
        <w:spacing w:line="300" w:lineRule="auto" w:before="0" w:after="0"/>
        <w:ind w:firstLine="420"/>
        <w:jc w:val="both"/>
      </w:pPr>
      <w:r>
        <w:rPr>
          <w:rFonts w:ascii="Times New Roman" w:hAnsi="Times New Roman" w:eastAsia="宋体"/>
          <w:color w:val="000000"/>
          <w:sz w:val="21"/>
        </w:rPr>
        <w:t xml:space="preserve">接触调节与几何避障在 PACE 中处于同等层级，二者均以基础 VLA 输出动作为共同参考，并分别根据接触状态和障碍距离独立产生修正。在当前抓取—放置任务中，两类风险的大部分激活区间并不重合；短暂同时激活时，两个模块分别针对支撑面法向与障碍分离方向调整运动，其作用对象不同，因此不需要额外的优先级切换。</w:t>
      </w:r>
    </w:p>
    <w:p>
      <w:pPr>
        <w:pStyle w:val="BodyText"/>
        <w:spacing w:line="300" w:lineRule="auto" w:before="0" w:after="0"/>
        <w:ind w:firstLine="420"/>
        <w:jc w:val="both"/>
      </w:pPr>
      <w:r>
        <w:rPr>
          <w:rFonts w:ascii="Times New Roman" w:hAnsi="Times New Roman" w:eastAsia="宋体"/>
          <w:color w:val="000000"/>
          <w:sz w:val="21"/>
        </w:rPr>
        <w:t xml:space="preserve">从执行特性看，两类修正都具有显式上界：接触顺应增量受到</w:t>
      </w:r>
      <w:r>
        <w:rPr>
          <w:rFonts w:ascii="Times New Roman" w:hAnsi="Times New Roman" w:eastAsia="宋体"/>
          <w:color w:val="000000"/>
          <w:sz w:val="21"/>
        </w:rPr>
        <w:t xml:space="preserve"> </w:t>
      </w:r>
      <m:oMath>
        <m:sSub>
          <m:e>
            <m:r>
              <m:t>ξ</m:t>
            </m:r>
          </m:e>
          <m:sub>
            <m:r>
              <m:rPr>
                <m:sty m:val="p"/>
              </m:rPr>
              <m:t>max</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限制，避障关节位移受到</w:t>
      </w:r>
      <w:r>
        <w:rPr>
          <w:rFonts w:ascii="Times New Roman" w:hAnsi="Times New Roman" w:eastAsia="宋体"/>
          <w:color w:val="000000"/>
          <w:sz w:val="21"/>
        </w:rPr>
        <w:t xml:space="preserve"> </w:t>
      </w:r>
      <m:oMath>
        <m:sSub>
          <m:e>
            <m:r>
              <m:t>Δ</m:t>
            </m:r>
          </m:e>
          <m:sub>
            <m:r>
              <m:rPr>
                <m:sty m:val="p"/>
              </m:rPr>
              <m:t>max</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限制，DLS 阻尼则降低了接近运动学奇异构型时的修正增益。无对应风险时，几何避障修正直接为零，接触调节的内部状态则按释放系数衰减并最终回到零。由此，PACE 仅在检测到相应物理风险时改变 VLA 输出动作。</w:t>
      </w:r>
    </w:p>
    <w:p>
      <w:pPr>
        <w:pStyle w:val="CaptionedFigure"/>
        <w:spacing w:before="100" w:after="40"/>
        <w:jc w:val="center"/>
      </w:pPr>
      <w:r>
        <w:rPr>
          <w:rFonts w:ascii="Times New Roman" w:hAnsi="Times New Roman" w:eastAsia="宋体"/>
          <w:color w:val="000000"/>
          <w:sz w:val="21"/>
        </w:rPr>
        <w:drawing>
          <wp:inline>
            <wp:extent cx="5334000" cy="4873037"/>
            <wp:effectExtent b="0" l="0" r="0" t="0"/>
            <wp:docPr descr="PACE 两类执行时修正的典型激活时序" title="" id="31" name="Picture"/>
            <a:graphic>
              <a:graphicData uri="http://schemas.openxmlformats.org/drawingml/2006/picture">
                <pic:pic>
                  <pic:nvPicPr>
                    <pic:cNvPr descr="paper_assets/figures/fig2_activation_timing.png" id="32" name="Picture"/>
                    <pic:cNvPicPr>
                      <a:picLocks noChangeArrowheads="1" noChangeAspect="1"/>
                    </pic:cNvPicPr>
                  </pic:nvPicPr>
                  <pic:blipFill>
                    <a:blip r:embed="rId30"/>
                    <a:stretch>
                      <a:fillRect/>
                    </a:stretch>
                  </pic:blipFill>
                  <pic:spPr bwMode="auto">
                    <a:xfrm>
                      <a:off x="0" y="0"/>
                      <a:ext cx="5334000" cy="4873037"/>
                    </a:xfrm>
                    <a:prstGeom prst="rect">
                      <a:avLst/>
                    </a:prstGeom>
                    <a:noFill/>
                    <a:ln w="9525">
                      <a:noFill/>
                      <a:headEnd/>
                      <a:tailEnd/>
                    </a:ln>
                  </pic:spPr>
                </pic:pic>
              </a:graphicData>
            </a:graphic>
          </wp:inline>
        </w:drawing>
      </w:r>
    </w:p>
    <w:p>
      <w:pPr>
        <w:pStyle w:val="BodyText"/>
        <w:spacing w:before="40" w:after="120"/>
        <w:jc w:val="center"/>
      </w:pPr>
      <w:r>
        <w:rPr>
          <w:rFonts w:ascii="Times New Roman" w:hAnsi="Times New Roman" w:eastAsia="宋体"/>
          <w:color w:val="000000"/>
          <w:sz w:val="21"/>
        </w:rPr>
        <w:t xml:space="preserve">图 2 PACE 两类执行时修正在单个成功回合中的典型激活时序。上图为最小表面距离</w:t>
      </w:r>
      <w:r>
        <w:rPr>
          <w:rFonts w:ascii="Times New Roman" w:hAnsi="Times New Roman" w:eastAsia="宋体"/>
          <w:color w:val="000000"/>
          <w:sz w:val="21"/>
        </w:rPr>
        <w:t xml:space="preserve"> </w:t>
      </w:r>
      <m:oMath>
        <m:sSub>
          <m:e>
            <m:r>
              <m:t>d</m:t>
            </m:r>
          </m:e>
          <m:sub>
            <m:r>
              <m:rPr>
                <m:sty m:val="p"/>
              </m:rPr>
              <m:t>min</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与安全裕度</w:t>
      </w:r>
      <w:r>
        <w:rPr>
          <w:rFonts w:ascii="Times New Roman" w:hAnsi="Times New Roman" w:eastAsia="宋体"/>
          <w:color w:val="000000"/>
          <w:sz w:val="21"/>
        </w:rPr>
        <w:t xml:space="preserve"> </w:t>
      </w:r>
      <m:oMath>
        <m:r>
          <m:t>δ</m:t>
        </m:r>
      </m:oMath>
      <w:r>
        <w:rPr>
          <w:rFonts w:ascii="Times New Roman" w:hAnsi="Times New Roman" w:eastAsia="宋体"/>
          <w:color w:val="000000"/>
          <w:sz w:val="21"/>
        </w:rPr>
        <w:t xml:space="preserve">，中图为避障权重</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ascii="Times New Roman" w:hAnsi="Times New Roman" w:eastAsia="宋体"/>
          <w:color w:val="000000"/>
          <w:sz w:val="21"/>
        </w:rPr>
        <w:t xml:space="preserve">与几何避障激活状态，下图为合成接触力与接触调节激活状态。阴影区域表示对应模块的激活区间。</w:t>
      </w:r>
    </w:p>
    <w:bookmarkEnd w:id="33"/>
    <w:bookmarkEnd w:id="34"/>
    <w:bookmarkStart w:id="42" w:name="实验设置"/>
    <w:p>
      <w:pPr>
        <w:pStyle w:val="Heading1"/>
        <w:jc w:val="left"/>
      </w:pPr>
      <w:r>
        <w:t xml:space="preserve">5 实验设置</w:t>
      </w:r>
    </w:p>
    <w:bookmarkStart w:id="38" w:name="实验平台与任务"/>
    <w:p>
      <w:pPr>
        <w:pStyle w:val="Heading2"/>
        <w:jc w:val="left"/>
      </w:pPr>
      <w:r>
        <w:t xml:space="preserve">5.1 实验平台与任务</w:t>
      </w:r>
    </w:p>
    <w:p>
      <w:pPr>
        <w:pStyle w:val="FirstParagraph"/>
        <w:spacing w:line="300" w:lineRule="auto" w:before="0" w:after="0"/>
        <w:ind w:firstLine="420"/>
        <w:jc w:val="both"/>
      </w:pPr>
      <w:r>
        <w:rPr>
          <w:rFonts w:ascii="Times New Roman" w:hAnsi="Times New Roman" w:eastAsia="宋体"/>
          <w:color w:val="000000"/>
          <w:sz w:val="21"/>
        </w:rPr>
        <w:t xml:space="preserve">实验在 MuJoCo[20] 定制场景中进行，平台由 6 自由度机械臂、平行夹爪、工作台、螺丝刀、储物盒和可选障碍支柱组成。螺丝刀初始位置在给定平面区域内采样；启用障碍物时，支柱位于物体与储物盒之间，使VLA 输出对应的转运轨迹存在明显干涉风险。所有结果均来自仿真。</w:t>
      </w:r>
    </w:p>
    <w:p>
      <w:pPr>
        <w:pStyle w:val="CaptionedFigure"/>
        <w:spacing w:before="100" w:after="40"/>
        <w:jc w:val="center"/>
      </w:pPr>
      <w:r>
        <w:rPr>
          <w:rFonts w:ascii="Times New Roman" w:hAnsi="Times New Roman" w:eastAsia="宋体"/>
          <w:color w:val="000000"/>
          <w:sz w:val="21"/>
        </w:rPr>
        <w:drawing>
          <wp:inline>
            <wp:extent cx="5334000" cy="5334000"/>
            <wp:effectExtent b="0" l="0" r="0" t="0"/>
            <wp:docPr descr="π0、VLSA/AEGIS 与 PACE 在统一仿真场景中的典型执行过程" title="" id="36" name="Picture"/>
            <a:graphic>
              <a:graphicData uri="http://schemas.openxmlformats.org/drawingml/2006/picture">
                <pic:pic>
                  <pic:nvPicPr>
                    <pic:cNvPr descr="paper_assets/figures/fig3_method_comparison_labeled.png" id="37"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spacing w:before="40" w:after="120"/>
        <w:jc w:val="center"/>
      </w:pPr>
      <w:r>
        <w:rPr>
          <w:rFonts w:ascii="Times New Roman" w:hAnsi="Times New Roman" w:eastAsia="宋体"/>
          <w:color w:val="000000"/>
          <w:sz w:val="21"/>
        </w:rPr>
        <w:t xml:space="preserve">图 3 统一初始位置下的典型执行过程。由上至下分别为 π0 无约束基线、VLSA/AEGIS 与 PACE（质量—阻尼）；由左至右分别展示初始状态、障碍物邻域内的执行状态和回合结果。该单回合只用于展示典型行为，定量结论以表 1 和表 2 的 100 回合统计为准。</w:t>
      </w:r>
    </w:p>
    <w:p>
      <w:pPr>
        <w:pStyle w:val="BodyText"/>
        <w:spacing w:line="300" w:lineRule="auto" w:before="0" w:after="0"/>
        <w:ind w:firstLine="420"/>
        <w:jc w:val="both"/>
      </w:pPr>
      <w:r>
        <w:rPr>
          <w:rFonts w:ascii="Times New Roman" w:hAnsi="Times New Roman" w:eastAsia="宋体"/>
          <w:color w:val="000000"/>
          <w:sz w:val="21"/>
        </w:rPr>
        <w:t xml:space="preserve">基础策略。π0[3] 通过 OpenPI WebSocket 接口提供服务，输入为外部相机与腕部相机的 256×256 RGB 图像、8 维本体状态和语言指令，每次返回长度为 8 的动作块。MuJoCo 时间步长为 0.001 s；每个动作目标执行 50 个物理子步，对应约 20 Hz 的动作更新频率；接触调节模块在 1 kHz 物理子步中更新，π0 每 8 个动作重新查询一次，对应约 2.5 Hz 的策略查询频率。</w:t>
      </w:r>
    </w:p>
    <w:p>
      <w:pPr>
        <w:pStyle w:val="BodyText"/>
        <w:spacing w:line="300" w:lineRule="auto" w:before="0" w:after="0"/>
        <w:ind w:firstLine="420"/>
        <w:jc w:val="both"/>
      </w:pPr>
      <w:r>
        <w:rPr>
          <w:rFonts w:ascii="Times New Roman" w:hAnsi="Times New Roman" w:eastAsia="宋体"/>
          <w:color w:val="000000"/>
          <w:sz w:val="21"/>
        </w:rPr>
        <w:t xml:space="preserve">回合协议。机械臂每回合从零点构型开始。本轮 B1–B12 消融实验未启用固定评测模式，螺丝刀初始平面位置在</w:t>
      </w:r>
      <w:r>
        <w:rPr>
          <w:rFonts w:ascii="Times New Roman" w:hAnsi="Times New Roman" w:eastAsia="宋体"/>
          <w:color w:val="000000"/>
          <w:sz w:val="21"/>
        </w:rPr>
        <w:t xml:space="preserve"> </w:t>
      </w:r>
      <m:oMath>
        <m:r>
          <m:t>x</m:t>
        </m:r>
        <m:r>
          <m:rPr>
            <m:sty m:val="p"/>
          </m:rPr>
          <m:t>∈</m:t>
        </m:r>
        <m:d>
          <m:dPr>
            <m:begChr m:val="["/>
            <m:endChr m:val="]"/>
            <m:sepChr m:val=""/>
            <m:grow/>
          </m:dPr>
          <m:e>
            <m:r>
              <m:t>0.20</m:t>
            </m:r>
            <m:r>
              <m:rPr>
                <m:sty m:val="p"/>
              </m:rPr>
              <m:t>,</m:t>
            </m:r>
            <m:r>
              <m:t>0.35</m:t>
            </m:r>
          </m:e>
        </m:d>
      </m:oMath>
      <w:r>
        <w:rPr>
          <w:rFonts w:ascii="Times New Roman" w:hAnsi="Times New Roman" w:eastAsia="宋体"/>
          <w:color w:val="000000"/>
          <w:sz w:val="21"/>
        </w:rPr>
        <w:t xml:space="preserve"> </w:t>
      </w:r>
      <w:r>
        <w:rPr>
          <w:rFonts w:ascii="Times New Roman" w:hAnsi="Times New Roman" w:eastAsia="宋体"/>
          <w:color w:val="000000"/>
          <w:sz w:val="21"/>
        </w:rPr>
        <w:t xml:space="preserve">m、</w:t>
      </w:r>
      <m:oMath>
        <m:r>
          <m:t>y</m:t>
        </m:r>
        <m:r>
          <m:rPr>
            <m:sty m:val="p"/>
          </m:rPr>
          <m:t>∈</m:t>
        </m:r>
        <m:d>
          <m:dPr>
            <m:begChr m:val="["/>
            <m:endChr m:val="]"/>
            <m:sepChr m:val=""/>
            <m:grow/>
          </m:dPr>
          <m:e>
            <m:r>
              <m:rPr>
                <m:sty m:val="p"/>
              </m:rPr>
              <m:t>−</m:t>
            </m:r>
            <m:r>
              <m:t>0.15</m:t>
            </m:r>
            <m:r>
              <m:rPr>
                <m:sty m:val="p"/>
              </m:rPr>
              <m:t>,</m:t>
            </m:r>
            <m:r>
              <m:rPr>
                <m:sty m:val="p"/>
              </m:rPr>
              <m:t>−</m:t>
            </m:r>
            <m:r>
              <m:t>0.05</m:t>
            </m:r>
          </m:e>
        </m:d>
      </m:oMath>
      <w:r>
        <w:rPr>
          <w:rFonts w:ascii="Times New Roman" w:hAnsi="Times New Roman" w:eastAsia="宋体"/>
          <w:color w:val="000000"/>
          <w:sz w:val="21"/>
        </w:rPr>
        <w:t xml:space="preserve"> </w:t>
      </w:r>
      <w:r>
        <w:rPr>
          <w:rFonts w:ascii="Times New Roman" w:hAnsi="Times New Roman" w:eastAsia="宋体"/>
          <w:color w:val="000000"/>
          <w:sz w:val="21"/>
        </w:rPr>
        <w:t xml:space="preserve">m 范围内独立均匀采样，各组采用相同采样分布但不共享逐回合的固定初始位置。单回合在任务成功或达到 600 个动作步时终止，每组运行 100 回合。</w:t>
      </w:r>
    </w:p>
    <w:p>
      <w:pPr>
        <w:pStyle w:val="BodyText"/>
        <w:spacing w:line="300" w:lineRule="auto" w:before="0" w:after="0"/>
        <w:ind w:firstLine="420"/>
        <w:jc w:val="both"/>
      </w:pPr>
      <w:r>
        <w:rPr>
          <w:rFonts w:ascii="Times New Roman" w:hAnsi="Times New Roman" w:eastAsia="宋体"/>
          <w:color w:val="000000"/>
          <w:sz w:val="21"/>
        </w:rPr>
        <w:t xml:space="preserve">判定标准。螺丝刀进入储物盒边界并完成释放，且该状态连续保持 5 个动作步时记为任务成功。障碍物碰倒率 CR 根据支柱姿态判定：当其局部</w:t>
      </w:r>
      <w:r>
        <w:rPr>
          <w:rFonts w:ascii="Times New Roman" w:hAnsi="Times New Roman" w:eastAsia="宋体"/>
          <w:color w:val="000000"/>
          <w:sz w:val="21"/>
        </w:rPr>
        <w:t xml:space="preserve"> </w:t>
      </w:r>
      <m:oMath>
        <m:r>
          <m:t>z</m:t>
        </m:r>
      </m:oMath>
      <w:r>
        <w:rPr>
          <w:rFonts w:ascii="Times New Roman" w:hAnsi="Times New Roman" w:eastAsia="宋体"/>
          <w:color w:val="000000"/>
          <w:sz w:val="21"/>
        </w:rPr>
        <w:t xml:space="preserve"> </w:t>
      </w:r>
      <w:r>
        <w:rPr>
          <w:rFonts w:ascii="Times New Roman" w:hAnsi="Times New Roman" w:eastAsia="宋体"/>
          <w:color w:val="000000"/>
          <w:sz w:val="21"/>
        </w:rPr>
        <w:t xml:space="preserve">轴与世界竖直方向的夹角超过约 25.8°（等价于旋转矩阵元素</w:t>
      </w:r>
      <w:r>
        <w:rPr>
          <w:rFonts w:ascii="Times New Roman" w:hAnsi="Times New Roman" w:eastAsia="宋体"/>
          <w:color w:val="000000"/>
          <w:sz w:val="21"/>
        </w:rPr>
        <w:t xml:space="preserve"> </w:t>
      </w:r>
      <m:oMath>
        <m:sSub>
          <m:e>
            <m:r>
              <m:t>R</m:t>
            </m:r>
          </m:e>
          <m:sub>
            <m:r>
              <m:t>z</m:t>
            </m:r>
            <m:r>
              <m:t>z</m:t>
            </m:r>
          </m:sub>
        </m:sSub>
        <m:r>
          <m:rPr>
            <m:sty m:val="p"/>
          </m:rPr>
          <m:t>&lt;</m:t>
        </m:r>
        <m:r>
          <m:t>0.9</m:t>
        </m:r>
      </m:oMath>
      <w:r>
        <w:rPr>
          <w:rFonts w:ascii="Times New Roman" w:hAnsi="Times New Roman" w:eastAsia="宋体"/>
          <w:color w:val="000000"/>
          <w:sz w:val="21"/>
        </w:rPr>
        <w:t xml:space="preserve">）时记为该回合发生障碍物碰倒。</w:t>
      </w:r>
    </w:p>
    <w:bookmarkEnd w:id="38"/>
    <w:bookmarkStart w:id="39" w:name="消融实验设计"/>
    <w:p>
      <w:pPr>
        <w:pStyle w:val="Heading2"/>
        <w:jc w:val="left"/>
      </w:pPr>
      <w:r>
        <w:t xml:space="preserve">5.2 消融实验设计</w:t>
      </w:r>
    </w:p>
    <w:p>
      <w:pPr>
        <w:pStyle w:val="FirstParagraph"/>
        <w:spacing w:line="300" w:lineRule="auto" w:before="0" w:after="0"/>
        <w:ind w:firstLine="420"/>
        <w:jc w:val="both"/>
      </w:pPr>
      <w:r>
        <w:rPr>
          <w:rFonts w:ascii="Times New Roman" w:hAnsi="Times New Roman" w:eastAsia="宋体"/>
          <w:color w:val="000000"/>
          <w:sz w:val="21"/>
        </w:rPr>
        <w:t xml:space="preserve">消融实验独立切换障碍物、几何避障模块与接触调节模块。B1–B6 为无障碍工况，B7–B12 为有障碍工况；每一部分依次包含基础策略、仅几何避障、接触调节形式 I/II，以及两个模块同时启用的形式 I/II，共 12 组，每组 100 回合。B11 与 B12 均为完整 PACE，区别仅在导纳形式。</w:t>
      </w:r>
    </w:p>
    <w:p>
      <w:pPr>
        <w:pStyle w:val="BodyText"/>
        <w:spacing w:line="300" w:lineRule="auto" w:before="0" w:after="0"/>
        <w:ind w:firstLine="420"/>
        <w:jc w:val="both"/>
      </w:pPr>
      <w:r>
        <w:rPr>
          <w:rFonts w:ascii="Times New Roman" w:hAnsi="Times New Roman" w:eastAsia="宋体"/>
          <w:color w:val="000000"/>
          <w:sz w:val="21"/>
        </w:rPr>
        <w:t xml:space="preserve">比较时采用单因素对照：考察几何避障时保持接触调节配置一致，考察接触调节时保持障碍物与几何避障配置一致。</w:t>
      </w:r>
    </w:p>
    <w:bookmarkEnd w:id="39"/>
    <w:bookmarkStart w:id="40" w:name="vlsa-对比基线"/>
    <w:p>
      <w:pPr>
        <w:pStyle w:val="Heading2"/>
        <w:jc w:val="left"/>
      </w:pPr>
      <w:r>
        <w:t xml:space="preserve">5.3 VLSA 对比基线</w:t>
      </w:r>
    </w:p>
    <w:p>
      <w:pPr>
        <w:pStyle w:val="FirstParagraph"/>
        <w:spacing w:line="300" w:lineRule="auto" w:before="0" w:after="0"/>
        <w:ind w:firstLine="420"/>
        <w:jc w:val="both"/>
      </w:pPr>
      <w:r>
        <w:rPr>
          <w:rFonts w:ascii="Times New Roman" w:hAnsi="Times New Roman" w:eastAsia="宋体"/>
          <w:color w:val="000000"/>
          <w:sz w:val="21"/>
        </w:rPr>
        <w:t xml:space="preserve">本文选取插件式安全层 VLSA/AEGIS[8] 作为外部对比方法。为避免任务、基础策略和仿真平台差异干扰比较，本文将其公开的核心安全算法迁移至本文的 MuJoCo 螺丝刀拾放环境，并使用与 PACE 相同的 π0 基础策略、场景、初始位置采样范围、回合数和成功/碰倒判定标准。</w:t>
      </w:r>
    </w:p>
    <w:p>
      <w:pPr>
        <w:pStyle w:val="BodyText"/>
        <w:spacing w:line="300" w:lineRule="auto" w:before="0" w:after="0"/>
        <w:ind w:firstLine="420"/>
        <w:jc w:val="both"/>
      </w:pPr>
      <w:r>
        <w:rPr>
          <w:rFonts w:ascii="Times New Roman" w:hAnsi="Times New Roman" w:eastAsia="宋体"/>
          <w:color w:val="000000"/>
          <w:sz w:val="21"/>
        </w:rPr>
        <w:t xml:space="preserve">VLSA/AEGIS 通过 CBF-QP 对 VLA 输出运动进行最小修正。对比实现保留该方法的核心几何屏障约束与优化求解流程，并将其机器人运动学接口和障碍物表示适配到本文场景。该对比用于考察严格几何距离约束在当前接触型拾放任务中对障碍物风险、任务完成与接触载荷的影响。</w:t>
      </w:r>
    </w:p>
    <w:bookmarkEnd w:id="40"/>
    <w:bookmarkStart w:id="41" w:name="评价指标"/>
    <w:p>
      <w:pPr>
        <w:pStyle w:val="Heading2"/>
        <w:jc w:val="left"/>
      </w:pPr>
      <w:r>
        <w:t xml:space="preserve">5.4 评价指标</w:t>
      </w:r>
    </w:p>
    <w:p>
      <w:pPr>
        <w:pStyle w:val="FirstParagraph"/>
        <w:spacing w:line="300" w:lineRule="auto" w:before="0" w:after="0"/>
        <w:ind w:firstLine="420"/>
        <w:jc w:val="both"/>
      </w:pPr>
      <w:r>
        <w:rPr>
          <w:rFonts w:ascii="Times New Roman" w:hAnsi="Times New Roman" w:eastAsia="宋体"/>
          <w:color w:val="000000"/>
          <w:sz w:val="21"/>
        </w:rPr>
        <w:t xml:space="preserve">评价指标包括任务成功率 SR、障碍物碰倒率 CR、平均峰值接触力</w:t>
      </w:r>
      <w:r>
        <w:rPr>
          <w:rFonts w:ascii="Times New Roman" w:hAnsi="Times New Roman" w:eastAsia="宋体"/>
          <w:color w:val="000000"/>
          <w:sz w:val="21"/>
        </w:rPr>
        <w:t xml:space="preserve"> </w:t>
      </w:r>
      <m:oMath>
        <m:acc>
          <m:accPr>
            <m:chr m:val="̂"/>
          </m:accPr>
          <m:e>
            <m:r>
              <m:t>f</m:t>
            </m:r>
          </m:e>
        </m:acc>
      </m:oMath>
      <w:r>
        <w:rPr>
          <w:rFonts w:ascii="Times New Roman" w:hAnsi="Times New Roman" w:eastAsia="宋体"/>
          <w:color w:val="000000"/>
          <w:sz w:val="21"/>
        </w:rPr>
        <w:t xml:space="preserve">、接触冲量</w:t>
      </w:r>
      <w:r>
        <w:rPr>
          <w:rFonts w:ascii="Times New Roman" w:hAnsi="Times New Roman" w:eastAsia="宋体"/>
          <w:color w:val="000000"/>
          <w:sz w:val="21"/>
        </w:rPr>
        <w:t xml:space="preserve"> </w:t>
      </w:r>
      <m:oMath>
        <m:r>
          <m:t>I</m:t>
        </m:r>
      </m:oMath>
      <w:r>
        <w:rPr>
          <w:rFonts w:ascii="Times New Roman" w:hAnsi="Times New Roman" w:eastAsia="宋体"/>
          <w:color w:val="000000"/>
          <w:sz w:val="21"/>
        </w:rPr>
        <w:t xml:space="preserve">、成功回合冲量</w:t>
      </w:r>
      <w:r>
        <w:rPr>
          <w:rFonts w:ascii="Times New Roman" w:hAnsi="Times New Roman" w:eastAsia="宋体"/>
          <w:color w:val="000000"/>
          <w:sz w:val="21"/>
        </w:rPr>
        <w:t xml:space="preserve"> </w:t>
      </w:r>
      <m:oMath>
        <m:sSub>
          <m:e>
            <m:r>
              <m:t>I</m:t>
            </m:r>
          </m:e>
          <m:sub>
            <m:r>
              <m:rPr>
                <m:sty m:val="p"/>
              </m:rPr>
              <m:t>s</m:t>
            </m:r>
            <m:r>
              <m:rPr>
                <m:sty m:val="p"/>
              </m:rPr>
              <m:t>u</m:t>
            </m:r>
            <m:r>
              <m:rPr>
                <m:sty m:val="p"/>
              </m:rPr>
              <m:t>c</m:t>
            </m:r>
            <m:r>
              <m:rPr>
                <m:sty m:val="p"/>
              </m:rPr>
              <m:t>c</m:t>
            </m:r>
          </m:sub>
        </m:sSub>
      </m:oMath>
      <w:r>
        <w:rPr>
          <w:rFonts w:ascii="Times New Roman" w:hAnsi="Times New Roman" w:eastAsia="宋体"/>
          <w:color w:val="000000"/>
          <w:sz w:val="21"/>
        </w:rPr>
        <w:t xml:space="preserve">、冲量标准差</w:t>
      </w:r>
      <w:r>
        <w:rPr>
          <w:rFonts w:ascii="Times New Roman" w:hAnsi="Times New Roman" w:eastAsia="宋体"/>
          <w:color w:val="000000"/>
          <w:sz w:val="21"/>
        </w:rPr>
        <w:t xml:space="preserve"> </w:t>
      </w:r>
      <m:oMath>
        <m:sSub>
          <m:e>
            <m:r>
              <m:t>σ</m:t>
            </m:r>
          </m:e>
          <m:sub>
            <m:r>
              <m:t>I</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和平均峰值关节扭矩</w:t>
      </w:r>
      <w:r>
        <w:rPr>
          <w:rFonts w:ascii="Times New Roman" w:hAnsi="Times New Roman" w:eastAsia="宋体"/>
          <w:color w:val="000000"/>
          <w:sz w:val="21"/>
        </w:rPr>
        <w:t xml:space="preserve"> </w:t>
      </w:r>
      <m:oMath>
        <m:sSub>
          <m:e>
            <m:acc>
              <m:accPr>
                <m:chr m:val="̂"/>
              </m:accPr>
              <m:e>
                <m:r>
                  <m:t>τ</m:t>
                </m:r>
              </m:e>
            </m:acc>
          </m:e>
          <m:sub>
            <m:r>
              <m:rPr>
                <m:sty m:val="p"/>
              </m:rPr>
              <m:t>max</m:t>
            </m:r>
          </m:sub>
        </m:sSub>
      </m:oMath>
      <w:r>
        <w:rPr>
          <w:rFonts w:ascii="Times New Roman" w:hAnsi="Times New Roman" w:eastAsia="宋体"/>
          <w:color w:val="000000"/>
          <w:sz w:val="21"/>
        </w:rPr>
        <w:t xml:space="preserve">。其中，</w:t>
      </w:r>
      <m:oMath>
        <m:acc>
          <m:accPr>
            <m:chr m:val="̂"/>
          </m:accPr>
          <m:e>
            <m:r>
              <m:t>f</m:t>
            </m:r>
          </m:e>
        </m:acc>
      </m:oMath>
      <w:r>
        <w:rPr>
          <w:rFonts w:ascii="Times New Roman" w:hAnsi="Times New Roman" w:eastAsia="宋体"/>
          <w:color w:val="000000"/>
          <w:sz w:val="21"/>
        </w:rPr>
        <w:t xml:space="preserve"> </w:t>
      </w:r>
      <w:r>
        <w:rPr>
          <w:rFonts w:ascii="Times New Roman" w:hAnsi="Times New Roman" w:eastAsia="宋体"/>
          <w:color w:val="000000"/>
          <w:sz w:val="21"/>
        </w:rPr>
        <w:t xml:space="preserve">仅在成功回合上统计：先取得每个成功回合的接触力模长峰值，再在成功回合间求平均；</w:t>
      </w:r>
      <m:oMath>
        <m:r>
          <m:t>I</m:t>
        </m:r>
      </m:oMath>
      <w:r>
        <w:rPr>
          <w:rFonts w:ascii="Times New Roman" w:hAnsi="Times New Roman" w:eastAsia="宋体"/>
          <w:color w:val="000000"/>
          <w:sz w:val="21"/>
        </w:rPr>
        <w:t xml:space="preserve"> </w:t>
      </w:r>
      <w:r>
        <w:rPr>
          <w:rFonts w:ascii="Times New Roman" w:hAnsi="Times New Roman" w:eastAsia="宋体"/>
          <w:color w:val="000000"/>
          <w:sz w:val="21"/>
        </w:rPr>
        <w:t xml:space="preserve">为全部回合接触力模长时间积分的均值，</w:t>
      </w:r>
      <m:oMath>
        <m:sSub>
          <m:e>
            <m:r>
              <m:t>I</m:t>
            </m:r>
          </m:e>
          <m:sub>
            <m:r>
              <m:rPr>
                <m:sty m:val="p"/>
              </m:rPr>
              <m:t>s</m:t>
            </m:r>
            <m:r>
              <m:rPr>
                <m:sty m:val="p"/>
              </m:rPr>
              <m:t>u</m:t>
            </m:r>
            <m:r>
              <m:rPr>
                <m:sty m:val="p"/>
              </m:rPr>
              <m:t>c</m:t>
            </m:r>
            <m:r>
              <m:rPr>
                <m:sty m:val="p"/>
              </m:rPr>
              <m:t>c</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为成功回合冲量均值，</w:t>
      </w:r>
      <m:oMath>
        <m:sSub>
          <m:e>
            <m:r>
              <m:t>σ</m:t>
            </m:r>
          </m:e>
          <m:sub>
            <m:r>
              <m:t>I</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为成功回合冲量的标准差。</w:t>
      </w:r>
      <m:oMath>
        <m:sSub>
          <m:e>
            <m:acc>
              <m:accPr>
                <m:chr m:val="̂"/>
              </m:accPr>
              <m:e>
                <m:r>
                  <m:t>τ</m:t>
                </m:r>
              </m:e>
            </m:acc>
          </m:e>
          <m:sub>
            <m:r>
              <m:rPr>
                <m:sty m:val="p"/>
              </m:rPr>
              <m:t>max</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则先取得每回合 6 个关节执行扭矩绝对值的时间峰值，再在全部回合间求平均。</w:t>
      </w:r>
    </w:p>
    <w:bookmarkEnd w:id="41"/>
    <w:bookmarkEnd w:id="42"/>
    <w:bookmarkStart w:id="51" w:name="实验结果"/>
    <w:p>
      <w:pPr>
        <w:pStyle w:val="Heading1"/>
        <w:jc w:val="left"/>
      </w:pPr>
      <w:r>
        <w:t xml:space="preserve">6 实验结果</w:t>
      </w:r>
    </w:p>
    <w:p>
      <w:pPr>
        <w:pStyle w:val="FirstParagraph"/>
        <w:spacing w:line="300" w:lineRule="auto" w:before="0" w:after="0"/>
        <w:ind w:firstLine="420"/>
        <w:jc w:val="both"/>
      </w:pPr>
      <w:r>
        <w:rPr>
          <w:rFonts w:ascii="Times New Roman" w:hAnsi="Times New Roman" w:eastAsia="宋体"/>
          <w:color w:val="000000"/>
          <w:sz w:val="21"/>
        </w:rPr>
        <w:t xml:space="preserve">本节依次给出 12 组模块消融与 VLSA/AEGIS 对比结果。所有方法均采用第 5 节所述的任务协议与指标定义。</w:t>
      </w:r>
    </w:p>
    <w:bookmarkStart w:id="46" w:name="消融实验结果"/>
    <w:p>
      <w:pPr>
        <w:pStyle w:val="Heading2"/>
        <w:jc w:val="left"/>
      </w:pPr>
      <w:r>
        <w:t xml:space="preserve">6.1 消融实验结果</w:t>
      </w:r>
    </w:p>
    <w:p>
      <w:pPr>
        <w:pStyle w:val="FirstParagraph"/>
        <w:spacing w:line="300" w:lineRule="auto" w:before="0" w:after="0"/>
        <w:ind w:firstLine="420"/>
        <w:jc w:val="both"/>
      </w:pPr>
      <w:r>
        <w:rPr>
          <w:rFonts w:ascii="Times New Roman" w:hAnsi="Times New Roman" w:eastAsia="宋体"/>
          <w:color w:val="000000"/>
          <w:sz w:val="21"/>
        </w:rPr>
        <w:t xml:space="preserve">12 组消融结果汇总于表 1。表中同时给出模块配置与四项核心指标，用一张主表比较任务保持、障碍物干涉和接触载荷。其中，形式 I 表示负载相关增益的离散增量映射，形式 II 表示质量—阻尼参考动力学。</w:t>
      </w:r>
    </w:p>
    <w:p>
      <w:pPr>
        <w:pStyle w:val="BodyText"/>
        <w:spacing w:line="300" w:lineRule="auto" w:before="0" w:after="0"/>
        <w:ind w:firstLine="420"/>
        <w:jc w:val="both"/>
      </w:pPr>
      <w:r>
        <w:rPr>
          <w:rFonts w:ascii="Times New Roman" w:hAnsi="Times New Roman" w:eastAsia="宋体"/>
          <w:color w:val="000000"/>
          <w:sz w:val="21"/>
        </w:rPr>
        <w:t xml:space="preserve">几何避障方面，首先考察有障碍条件下的配对对照。在不启用接触调节时，B7 组关闭几何避障，B8 组仅启用几何避障；两组的 SR 分别为 62% 和 95%，CR 分别为 92% 和 1%。当接触调节采用负载相关增益的离散增量映射（形式 I）时，B9 组关闭几何避障，B11 组启用几何避障，CR 由 91% 降至 12%，SR 由 50% 提升至 64%；当接触调节采用质量—阻尼参考动力学（形式 II）时，B10 组关闭几何避障，B12 组启用几何避障，CR 由 88% 降至 9%，SR 由 48% 提升至 77%。上述三组对照在保持接触调节配置一致的条件下，仅改变几何避障开关，结果均表明几何避障能够明显降低障碍物碰倒率。</w:t>
      </w:r>
    </w:p>
    <w:p>
      <w:pPr>
        <w:pStyle w:val="BodyText"/>
        <w:spacing w:before="40" w:after="120"/>
        <w:jc w:val="center"/>
      </w:pPr>
      <w:r>
        <w:rPr>
          <w:rFonts w:ascii="Times New Roman" w:hAnsi="Times New Roman" w:eastAsia="宋体"/>
          <w:color w:val="000000"/>
          <w:sz w:val="21"/>
        </w:rPr>
        <w:t xml:space="preserve">表 1：12 组消融实验主要结果</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990"/>
        <w:gridCol w:w="990"/>
        <w:gridCol w:w="990"/>
        <w:gridCol w:w="990"/>
        <w:gridCol w:w="990"/>
        <w:gridCol w:w="990"/>
        <w:gridCol w:w="990"/>
        <w:gridCol w:w="990"/>
      </w:tblGrid>
      <w:tr>
        <w:trPr>
          <w:tblHeader w:val="on"/>
          <w:tblHeader w:val="true"/>
        </w:trPr>
        <w:tc>
          <w:tcPr>
            <w:tcW w:type="dxa" w:w="567"/>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组号</w:t>
            </w:r>
          </w:p>
        </w:tc>
        <w:tc>
          <w:tcPr>
            <w:tcW w:type="dxa" w:w="652"/>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障碍物</w:t>
            </w:r>
          </w:p>
        </w:tc>
        <w:tc>
          <w:tcPr>
            <w:tcW w:type="dxa" w:w="822"/>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几何避障</w:t>
            </w:r>
          </w:p>
        </w:tc>
        <w:tc>
          <w:tcPr>
            <w:tcW w:type="dxa" w:w="1020"/>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接触调节</w:t>
            </w:r>
          </w:p>
        </w:tc>
        <w:tc>
          <w:tcPr>
            <w:tcW w:type="dxa" w:w="879"/>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SR (%)↑</w:t>
            </w:r>
          </w:p>
        </w:tc>
        <w:tc>
          <w:tcPr>
            <w:tcW w:type="dxa" w:w="879"/>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CR (%)↓</w:t>
            </w:r>
          </w:p>
        </w:tc>
        <w:tc>
          <w:tcPr>
            <w:tcW w:type="dxa" w:w="964"/>
            <w:tcBorders>
              <w:bottom w:val="single" w:sz="8" w:color="000000"/>
            </w:tcBorders>
            <w:vAlign w:val="center"/>
            <w:tcMar>
              <w:top w:w="90" w:type="dxa"/>
              <w:start w:w="90" w:type="dxa"/>
              <w:bottom w:w="90" w:type="dxa"/>
              <w:end w:w="90" w:type="dxa"/>
            </w:tcMar>
          </w:tcPr>
          <w:p>
            <w:pPr>
              <w:pStyle w:val="Compact"/>
              <w:spacing w:before="20" w:after="20" w:line="240" w:lineRule="auto"/>
              <w:jc w:val="center"/>
            </w:pPr>
            <m:oMath>
              <m:acc>
                <m:accPr>
                  <m:chr m:val="̂"/>
                </m:accPr>
                <m:e>
                  <m:r>
                    <m:t>f</m:t>
                  </m:r>
                </m:e>
              </m:acc>
            </m:oMath>
            <w:r>
              <w:rPr>
                <w:rFonts w:ascii="Times New Roman" w:hAnsi="Times New Roman" w:eastAsia="宋体"/>
                <w:b/>
                <w:color w:val="000000"/>
                <w:sz w:val="17"/>
              </w:rPr>
              <w:t xml:space="preserve"> </w:t>
            </w:r>
            <w:r>
              <w:rPr>
                <w:rFonts w:ascii="Times New Roman" w:hAnsi="Times New Roman" w:eastAsia="宋体"/>
                <w:b/>
                <w:color w:val="000000"/>
                <w:sz w:val="17"/>
              </w:rPr>
              <w:t xml:space="preserve">(N)↓</w:t>
            </w:r>
          </w:p>
        </w:tc>
        <w:tc>
          <w:tcPr>
            <w:tcW w:type="dxa" w:w="1020"/>
            <w:tcBorders>
              <w:bottom w:val="single" w:sz="8" w:color="000000"/>
            </w:tcBorders>
            <w:vAlign w:val="center"/>
            <w:tcMar>
              <w:top w:w="90" w:type="dxa"/>
              <w:start w:w="90" w:type="dxa"/>
              <w:bottom w:w="90" w:type="dxa"/>
              <w:end w:w="90" w:type="dxa"/>
            </w:tcMar>
          </w:tcPr>
          <w:p>
            <w:pPr>
              <w:pStyle w:val="Compact"/>
              <w:spacing w:before="20" w:after="20" w:line="240" w:lineRule="auto"/>
              <w:jc w:val="center"/>
            </w:pPr>
            <m:oMath>
              <m:r>
                <m:t>I</m:t>
              </m:r>
            </m:oMath>
            <w:r>
              <w:rPr>
                <w:rFonts w:ascii="Times New Roman" w:hAnsi="Times New Roman" w:eastAsia="宋体"/>
                <w:b/>
                <w:color w:val="000000"/>
                <w:sz w:val="17"/>
              </w:rPr>
              <w:t xml:space="preserve"> </w:t>
            </w:r>
            <w:r>
              <w:rPr>
                <w:rFonts w:ascii="Times New Roman" w:hAnsi="Times New Roman" w:eastAsia="宋体"/>
                <w:b/>
                <w:color w:val="000000"/>
                <w:sz w:val="17"/>
              </w:rPr>
              <w:t xml:space="preserve">(N·s)↓</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B1</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95.0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73.75</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74.77</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B2</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93.0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78.11</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95.47</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B3</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I</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88.0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66.52</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15.80</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B4</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II</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83.0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79.98</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22.30</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B5</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I</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95.0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67.75</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9.11</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B6</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II</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83.0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72.79</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23.09</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B7</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62.0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92.0</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74.46</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159.54</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B8</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95.0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1.0</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80.86</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72.08</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B9</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I</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50.0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91.0</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75.02</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24.45</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B10</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II</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48.0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88.0</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91.09</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37.43</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B11</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I</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64.0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12.0</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68.33</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29.38</w:t>
            </w:r>
          </w:p>
        </w:tc>
      </w:tr>
      <w:tr>
        <w:tc>
          <w:tcPr>
            <w:tcW w:type="dxa" w:w="56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B12</w:t>
            </w:r>
          </w:p>
        </w:tc>
        <w:tc>
          <w:tcPr>
            <w:tcW w:type="dxa" w:w="65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82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II</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77.0</w:t>
            </w:r>
          </w:p>
        </w:tc>
        <w:tc>
          <w:tcPr>
            <w:tcW w:type="dxa" w:w="879"/>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9.0</w:t>
            </w:r>
          </w:p>
        </w:tc>
        <w:tc>
          <w:tcPr>
            <w:tcW w:type="dxa" w:w="96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74.84</w:t>
            </w:r>
          </w:p>
        </w:tc>
        <w:tc>
          <w:tcPr>
            <w:tcW w:type="dxa" w:w="1020"/>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25.52</w:t>
            </w:r>
          </w:p>
        </w:tc>
      </w:tr>
    </w:tbl>
    <w:p>
      <w:pPr>
        <w:pStyle w:val="BodyText"/>
        <w:spacing w:line="300" w:lineRule="auto" w:before="0" w:after="0"/>
        <w:ind w:firstLine="420"/>
        <w:jc w:val="both"/>
      </w:pPr>
      <w:r>
        <w:rPr>
          <w:rFonts w:ascii="Times New Roman" w:hAnsi="Times New Roman" w:eastAsia="宋体"/>
          <w:color w:val="000000"/>
          <w:sz w:val="21"/>
        </w:rPr>
        <w:t xml:space="preserve">接触调节方面，先在无障碍且关闭几何避障的条件下比较 B1、B3 和 B4。B1 不启用接触调节，其平均接触冲量为 74.77 N·s；B3 采用负载相关增益的离散增量映射（形式 I），B4 采用质量—阻尼参考动力学（形式 II），平均接触冲量分别降至 15.80 N·s 和 22.30 N·s。对应的成功回合冲量由 B1 的 53.22 N·s 降至 5.55 N·s 和 10.57 N·s，成功回合冲量标准差由 42.31 N·s 降至 3.54 N·s 和 6.46 N·s。在有障碍且同时启用几何避障的完整配置中，B11 和 B12 分别采用上述两种接触调节方式，其平均接触冲量为 29.38 N·s 和 25.52 N·s；与有障碍、两个安全模块均关闭的 B7 组（159.54 N·s）相比，分别降低 81.6% 和 84.0%。同时，B11 和 B12 的任务成功率为 64% 和 77%，低于仅启用几何避障的 B8 组（95%）；平均峰值关节扭矩则由 B7 的 6.28 N·m 增至 7.97 N·m 和 7.56 N·m。这说明降低接触累积载荷会引入一定的任务性能与执行负载代价。负载相关增益方式在成功回合冲量和平均峰值接触力上更低，质量—阻尼参考方式则具有更高的任务成功率、更低的障碍物碰倒率和更低的全回合平均冲量，因此两种方式体现出不同的性能权衡。</w:t>
      </w:r>
    </w:p>
    <w:p>
      <w:pPr>
        <w:pStyle w:val="CaptionedFigure"/>
        <w:spacing w:before="100" w:after="40"/>
        <w:jc w:val="center"/>
      </w:pPr>
      <w:r>
        <w:rPr>
          <w:rFonts w:ascii="Times New Roman" w:hAnsi="Times New Roman" w:eastAsia="宋体"/>
          <w:color w:val="000000"/>
          <w:sz w:val="21"/>
        </w:rPr>
        <w:drawing>
          <wp:inline>
            <wp:extent cx="5334000" cy="2778700"/>
            <wp:effectExtent b="0" l="0" r="0" t="0"/>
            <wp:docPr descr="无障碍条件下不同接触调节形式的接触力时域对比" title="" id="44" name="Picture"/>
            <a:graphic>
              <a:graphicData uri="http://schemas.openxmlformats.org/drawingml/2006/picture">
                <pic:pic>
                  <pic:nvPicPr>
                    <pic:cNvPr descr="paper_assets/figures/fig4_contact_force.png" id="45" name="Picture"/>
                    <pic:cNvPicPr>
                      <a:picLocks noChangeArrowheads="1" noChangeAspect="1"/>
                    </pic:cNvPicPr>
                  </pic:nvPicPr>
                  <pic:blipFill>
                    <a:blip r:embed="rId43"/>
                    <a:stretch>
                      <a:fillRect/>
                    </a:stretch>
                  </pic:blipFill>
                  <pic:spPr bwMode="auto">
                    <a:xfrm>
                      <a:off x="0" y="0"/>
                      <a:ext cx="5334000" cy="2778700"/>
                    </a:xfrm>
                    <a:prstGeom prst="rect">
                      <a:avLst/>
                    </a:prstGeom>
                    <a:noFill/>
                    <a:ln w="9525">
                      <a:noFill/>
                      <a:headEnd/>
                      <a:tailEnd/>
                    </a:ln>
                  </pic:spPr>
                </pic:pic>
              </a:graphicData>
            </a:graphic>
          </wp:inline>
        </w:drawing>
      </w:r>
    </w:p>
    <w:p>
      <w:pPr>
        <w:pStyle w:val="BodyText"/>
        <w:spacing w:before="40" w:after="120"/>
        <w:jc w:val="center"/>
      </w:pPr>
      <w:r>
        <w:rPr>
          <w:rFonts w:ascii="Times New Roman" w:hAnsi="Times New Roman" w:eastAsia="宋体"/>
          <w:color w:val="000000"/>
          <w:sz w:val="21"/>
        </w:rPr>
        <w:t xml:space="preserve">图 4 无障碍条件下不同接触调节形式的代表性成功回合接触力时域对比（B1、B3、B4）。三条曲线均来自固定初始位置下的单回合，用于展示典型接触过程；定量结论以表 1 的 100 回合统计为准。</w:t>
      </w:r>
    </w:p>
    <w:bookmarkEnd w:id="46"/>
    <w:bookmarkStart w:id="50" w:name="与-vlsaaegis-的对比"/>
    <w:p>
      <w:pPr>
        <w:pStyle w:val="Heading2"/>
        <w:jc w:val="left"/>
      </w:pPr>
      <w:r>
        <w:t xml:space="preserve">6.2 与 VLSA/AEGIS 的对比</w:t>
      </w:r>
    </w:p>
    <w:p>
      <w:pPr>
        <w:pStyle w:val="FirstParagraph"/>
        <w:spacing w:before="40" w:after="120"/>
        <w:jc w:val="center"/>
      </w:pPr>
      <w:r>
        <w:rPr>
          <w:rFonts w:ascii="Times New Roman" w:hAnsi="Times New Roman" w:eastAsia="宋体"/>
          <w:color w:val="000000"/>
          <w:sz w:val="21"/>
        </w:rPr>
        <w:t xml:space="preserve">表 2 比较 π0 无约束基线、迁移至本文仿真环境的 VLSA/AEGIS，以及 PACE 的两种完整配置。各方法均在有障碍工况下运行 100 回合，并采用一致的指标定义。</w:t>
      </w:r>
    </w:p>
    <w:p>
      <w:pPr>
        <w:pStyle w:val="BodyText"/>
        <w:spacing w:before="40" w:after="120"/>
        <w:jc w:val="center"/>
      </w:pPr>
      <w:r>
        <w:rPr>
          <w:rFonts w:ascii="Times New Roman" w:hAnsi="Times New Roman" w:eastAsia="宋体"/>
          <w:color w:val="000000"/>
          <w:sz w:val="21"/>
        </w:rPr>
        <w:t xml:space="preserve">表 2：外部方法综合对比</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1131"/>
        <w:gridCol w:w="1131"/>
        <w:gridCol w:w="1131"/>
        <w:gridCol w:w="1131"/>
        <w:gridCol w:w="1131"/>
        <w:gridCol w:w="1131"/>
        <w:gridCol w:w="1131"/>
      </w:tblGrid>
      <w:tr>
        <w:trPr>
          <w:tblHeader w:val="on"/>
          <w:tblHeader w:val="true"/>
        </w:trPr>
        <w:tc>
          <w:tcPr>
            <w:tcW w:type="dxa" w:w="1984"/>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方法</w:t>
            </w:r>
          </w:p>
        </w:tc>
        <w:tc>
          <w:tcPr>
            <w:tcW w:type="dxa" w:w="935"/>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SR (%)↑</w:t>
            </w:r>
          </w:p>
        </w:tc>
        <w:tc>
          <w:tcPr>
            <w:tcW w:type="dxa" w:w="935"/>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CR (%)↓</w:t>
            </w:r>
          </w:p>
        </w:tc>
        <w:tc>
          <w:tcPr>
            <w:tcW w:type="dxa" w:w="992"/>
            <w:tcBorders>
              <w:bottom w:val="single" w:sz="8" w:color="000000"/>
            </w:tcBorders>
            <w:vAlign w:val="center"/>
            <w:tcMar>
              <w:top w:w="90" w:type="dxa"/>
              <w:start w:w="90" w:type="dxa"/>
              <w:bottom w:w="90" w:type="dxa"/>
              <w:end w:w="90" w:type="dxa"/>
            </w:tcMar>
          </w:tcPr>
          <w:p>
            <w:pPr>
              <w:pStyle w:val="Compact"/>
              <w:spacing w:before="20" w:after="20" w:line="240" w:lineRule="auto"/>
              <w:jc w:val="center"/>
            </w:pPr>
            <m:oMath>
              <m:acc>
                <m:accPr>
                  <m:chr m:val="̂"/>
                </m:accPr>
                <m:e>
                  <m:r>
                    <m:t>f</m:t>
                  </m:r>
                </m:e>
              </m:acc>
            </m:oMath>
            <w:r>
              <w:rPr>
                <w:rFonts w:ascii="Times New Roman" w:hAnsi="Times New Roman" w:eastAsia="宋体"/>
                <w:b/>
                <w:color w:val="000000"/>
                <w:sz w:val="17"/>
              </w:rPr>
              <w:t xml:space="preserve"> </w:t>
            </w:r>
            <w:r>
              <w:rPr>
                <w:rFonts w:ascii="Times New Roman" w:hAnsi="Times New Roman" w:eastAsia="宋体"/>
                <w:b/>
                <w:color w:val="000000"/>
                <w:sz w:val="17"/>
              </w:rPr>
              <w:t xml:space="preserve">(N)↓</w:t>
            </w:r>
          </w:p>
        </w:tc>
        <w:tc>
          <w:tcPr>
            <w:tcW w:type="dxa" w:w="992"/>
            <w:tcBorders>
              <w:bottom w:val="single" w:sz="8" w:color="000000"/>
            </w:tcBorders>
            <w:vAlign w:val="center"/>
            <w:tcMar>
              <w:top w:w="90" w:type="dxa"/>
              <w:start w:w="90" w:type="dxa"/>
              <w:bottom w:w="90" w:type="dxa"/>
              <w:end w:w="90" w:type="dxa"/>
            </w:tcMar>
          </w:tcPr>
          <w:p>
            <w:pPr>
              <w:pStyle w:val="Compact"/>
              <w:spacing w:before="20" w:after="20" w:line="240" w:lineRule="auto"/>
              <w:jc w:val="center"/>
            </w:pPr>
            <m:oMath>
              <m:r>
                <m:t>I</m:t>
              </m:r>
            </m:oMath>
            <w:r>
              <w:rPr>
                <w:rFonts w:ascii="Times New Roman" w:hAnsi="Times New Roman" w:eastAsia="宋体"/>
                <w:b/>
                <w:color w:val="000000"/>
                <w:sz w:val="17"/>
              </w:rPr>
              <w:t xml:space="preserve"> </w:t>
            </w:r>
            <w:r>
              <w:rPr>
                <w:rFonts w:ascii="Times New Roman" w:hAnsi="Times New Roman" w:eastAsia="宋体"/>
                <w:b/>
                <w:color w:val="000000"/>
                <w:sz w:val="17"/>
              </w:rPr>
              <w:t xml:space="preserve">(N·s)↓</w:t>
            </w:r>
          </w:p>
        </w:tc>
        <w:tc>
          <w:tcPr>
            <w:tcW w:type="dxa" w:w="1077"/>
            <w:tcBorders>
              <w:bottom w:val="single" w:sz="8" w:color="000000"/>
            </w:tcBorders>
            <w:vAlign w:val="center"/>
            <w:tcMar>
              <w:top w:w="90" w:type="dxa"/>
              <w:start w:w="90" w:type="dxa"/>
              <w:bottom w:w="90" w:type="dxa"/>
              <w:end w:w="90" w:type="dxa"/>
            </w:tcMar>
          </w:tcPr>
          <w:p>
            <w:pPr>
              <w:pStyle w:val="Compact"/>
              <w:spacing w:before="20" w:after="20" w:line="240" w:lineRule="auto"/>
              <w:jc w:val="center"/>
            </w:pPr>
            <m:oMath>
              <m:sSub>
                <m:e>
                  <m:r>
                    <m:t>I</m:t>
                  </m:r>
                </m:e>
                <m:sub>
                  <m:r>
                    <m:rPr>
                      <m:sty m:val="p"/>
                    </m:rPr>
                    <m:t>s</m:t>
                  </m:r>
                  <m:r>
                    <m:rPr>
                      <m:sty m:val="p"/>
                    </m:rPr>
                    <m:t>u</m:t>
                  </m:r>
                  <m:r>
                    <m:rPr>
                      <m:sty m:val="p"/>
                    </m:rPr>
                    <m:t>c</m:t>
                  </m:r>
                  <m:r>
                    <m:rPr>
                      <m:sty m:val="p"/>
                    </m:rPr>
                    <m:t>c</m:t>
                  </m:r>
                </m:sub>
              </m:sSub>
            </m:oMath>
            <w:r>
              <w:rPr>
                <w:rFonts w:ascii="Times New Roman" w:hAnsi="Times New Roman" w:eastAsia="宋体"/>
                <w:b/>
                <w:color w:val="000000"/>
                <w:sz w:val="17"/>
              </w:rPr>
              <w:t xml:space="preserve">↓</w:t>
            </w:r>
          </w:p>
        </w:tc>
        <w:tc>
          <w:tcPr>
            <w:tcW w:type="dxa" w:w="1077"/>
            <w:tcBorders>
              <w:bottom w:val="single" w:sz="8" w:color="000000"/>
            </w:tcBorders>
            <w:vAlign w:val="center"/>
            <w:tcMar>
              <w:top w:w="90" w:type="dxa"/>
              <w:start w:w="90" w:type="dxa"/>
              <w:bottom w:w="90" w:type="dxa"/>
              <w:end w:w="90" w:type="dxa"/>
            </w:tcMar>
          </w:tcPr>
          <w:p>
            <w:pPr>
              <w:pStyle w:val="Compact"/>
              <w:spacing w:before="20" w:after="20" w:line="240" w:lineRule="auto"/>
              <w:jc w:val="center"/>
            </w:pPr>
            <m:oMath>
              <m:sSub>
                <m:e>
                  <m:acc>
                    <m:accPr>
                      <m:chr m:val="̂"/>
                    </m:accPr>
                    <m:e>
                      <m:r>
                        <m:t>τ</m:t>
                      </m:r>
                    </m:e>
                  </m:acc>
                </m:e>
                <m:sub>
                  <m:r>
                    <m:rPr>
                      <m:sty m:val="p"/>
                    </m:rPr>
                    <m:t>max</m:t>
                  </m:r>
                </m:sub>
              </m:sSub>
            </m:oMath>
            <w:r>
              <w:rPr>
                <w:rFonts w:ascii="Times New Roman" w:hAnsi="Times New Roman" w:eastAsia="宋体"/>
                <w:b/>
                <w:color w:val="000000"/>
                <w:sz w:val="17"/>
              </w:rPr>
              <w:t xml:space="preserve">↓</w:t>
            </w:r>
          </w:p>
        </w:tc>
      </w:tr>
      <w:tr>
        <w:tc>
          <w:tcPr>
            <w:tcW w:type="dxa" w:w="198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π0 无约束基线（B7）</w:t>
            </w:r>
          </w:p>
        </w:tc>
        <w:tc>
          <w:tcPr>
            <w:tcW w:type="dxa" w:w="935"/>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62.0</w:t>
            </w:r>
          </w:p>
        </w:tc>
        <w:tc>
          <w:tcPr>
            <w:tcW w:type="dxa" w:w="935"/>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92.0</w:t>
            </w:r>
          </w:p>
        </w:tc>
        <w:tc>
          <w:tcPr>
            <w:tcW w:type="dxa" w:w="99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74.46</w:t>
            </w:r>
          </w:p>
        </w:tc>
        <w:tc>
          <w:tcPr>
            <w:tcW w:type="dxa" w:w="99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159.54</w:t>
            </w:r>
          </w:p>
        </w:tc>
        <w:tc>
          <w:tcPr>
            <w:tcW w:type="dxa" w:w="107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61.80</w:t>
            </w:r>
          </w:p>
        </w:tc>
        <w:tc>
          <w:tcPr>
            <w:tcW w:type="dxa" w:w="107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6.28</w:t>
            </w:r>
          </w:p>
        </w:tc>
      </w:tr>
      <w:tr>
        <w:tc>
          <w:tcPr>
            <w:tcW w:type="dxa" w:w="198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VLSA/AEGIS [8]</w:t>
            </w:r>
          </w:p>
        </w:tc>
        <w:tc>
          <w:tcPr>
            <w:tcW w:type="dxa" w:w="935"/>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24.0</w:t>
            </w:r>
          </w:p>
        </w:tc>
        <w:tc>
          <w:tcPr>
            <w:tcW w:type="dxa" w:w="935"/>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0.0</w:t>
            </w:r>
          </w:p>
        </w:tc>
        <w:tc>
          <w:tcPr>
            <w:tcW w:type="dxa" w:w="99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71.27</w:t>
            </w:r>
          </w:p>
        </w:tc>
        <w:tc>
          <w:tcPr>
            <w:tcW w:type="dxa" w:w="99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290.38</w:t>
            </w:r>
          </w:p>
        </w:tc>
        <w:tc>
          <w:tcPr>
            <w:tcW w:type="dxa" w:w="107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126.85</w:t>
            </w:r>
          </w:p>
        </w:tc>
        <w:tc>
          <w:tcPr>
            <w:tcW w:type="dxa" w:w="107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7.22</w:t>
            </w:r>
          </w:p>
        </w:tc>
      </w:tr>
      <w:tr>
        <w:tc>
          <w:tcPr>
            <w:tcW w:type="dxa" w:w="198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PACE（负载增益，B11）</w:t>
            </w:r>
          </w:p>
        </w:tc>
        <w:tc>
          <w:tcPr>
            <w:tcW w:type="dxa" w:w="935"/>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64.0</w:t>
            </w:r>
          </w:p>
        </w:tc>
        <w:tc>
          <w:tcPr>
            <w:tcW w:type="dxa" w:w="935"/>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12.0</w:t>
            </w:r>
          </w:p>
        </w:tc>
        <w:tc>
          <w:tcPr>
            <w:tcW w:type="dxa" w:w="99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68.33</w:t>
            </w:r>
          </w:p>
        </w:tc>
        <w:tc>
          <w:tcPr>
            <w:tcW w:type="dxa" w:w="99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29.38</w:t>
            </w:r>
          </w:p>
        </w:tc>
        <w:tc>
          <w:tcPr>
            <w:tcW w:type="dxa" w:w="107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6.49</w:t>
            </w:r>
          </w:p>
        </w:tc>
        <w:tc>
          <w:tcPr>
            <w:tcW w:type="dxa" w:w="107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7.97</w:t>
            </w:r>
          </w:p>
        </w:tc>
      </w:tr>
      <w:tr>
        <w:tc>
          <w:tcPr>
            <w:tcW w:type="dxa" w:w="198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PACE（质量—阻尼，B12）</w:t>
            </w:r>
          </w:p>
        </w:tc>
        <w:tc>
          <w:tcPr>
            <w:tcW w:type="dxa" w:w="935"/>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77.0</w:t>
            </w:r>
          </w:p>
        </w:tc>
        <w:tc>
          <w:tcPr>
            <w:tcW w:type="dxa" w:w="935"/>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9.0</w:t>
            </w:r>
          </w:p>
        </w:tc>
        <w:tc>
          <w:tcPr>
            <w:tcW w:type="dxa" w:w="99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74.84</w:t>
            </w:r>
          </w:p>
        </w:tc>
        <w:tc>
          <w:tcPr>
            <w:tcW w:type="dxa" w:w="99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25.52</w:t>
            </w:r>
          </w:p>
        </w:tc>
        <w:tc>
          <w:tcPr>
            <w:tcW w:type="dxa" w:w="107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12.44</w:t>
            </w:r>
          </w:p>
        </w:tc>
        <w:tc>
          <w:tcPr>
            <w:tcW w:type="dxa" w:w="107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7.56</w:t>
            </w:r>
          </w:p>
        </w:tc>
      </w:tr>
    </w:tbl>
    <w:p>
      <w:pPr>
        <w:pStyle w:val="BodyText"/>
        <w:spacing w:line="300" w:lineRule="auto" w:before="0" w:after="0"/>
        <w:ind w:firstLine="420"/>
        <w:jc w:val="both"/>
      </w:pPr>
      <w:r>
        <w:rPr>
          <w:rFonts w:ascii="Times New Roman" w:hAnsi="Times New Roman" w:eastAsia="宋体"/>
          <w:color w:val="000000"/>
          <w:sz w:val="21"/>
        </w:rPr>
        <w:t xml:space="preserve">注：↑ 表示越大越好，↓ 表示越小越好；</w:t>
      </w:r>
      <m:oMath>
        <m:sSub>
          <m:e>
            <m:r>
              <m:t>I</m:t>
            </m:r>
          </m:e>
          <m:sub>
            <m:r>
              <m:rPr>
                <m:sty m:val="p"/>
              </m:rPr>
              <m:t>s</m:t>
            </m:r>
            <m:r>
              <m:rPr>
                <m:sty m:val="p"/>
              </m:rPr>
              <m:t>u</m:t>
            </m:r>
            <m:r>
              <m:rPr>
                <m:sty m:val="p"/>
              </m:rPr>
              <m:t>c</m:t>
            </m:r>
            <m:r>
              <m:rPr>
                <m:sty m:val="p"/>
              </m:rPr>
              <m:t>c</m:t>
            </m:r>
          </m:sub>
        </m:sSub>
      </m:oMath>
      <w:r>
        <w:rPr>
          <w:rFonts w:ascii="Times New Roman" w:hAnsi="Times New Roman" w:eastAsia="宋体"/>
          <w:color w:val="000000"/>
          <w:sz w:val="21"/>
        </w:rPr>
        <w:t xml:space="preserve"> </w:t>
      </w:r>
      <w:r>
        <w:rPr>
          <w:rFonts w:ascii="Times New Roman" w:hAnsi="Times New Roman" w:eastAsia="宋体"/>
          <w:color w:val="000000"/>
          <w:sz w:val="21"/>
        </w:rPr>
        <w:t xml:space="preserve">仅统计成功回合。</w:t>
      </w:r>
    </w:p>
    <w:p>
      <w:pPr>
        <w:pStyle w:val="BodyText"/>
        <w:spacing w:line="300" w:lineRule="auto" w:before="0" w:after="0"/>
        <w:ind w:firstLine="420"/>
        <w:jc w:val="both"/>
      </w:pPr>
      <w:r>
        <w:rPr>
          <w:rFonts w:ascii="Times New Roman" w:hAnsi="Times New Roman" w:eastAsia="宋体"/>
          <w:color w:val="000000"/>
          <w:sz w:val="21"/>
        </w:rPr>
        <w:t xml:space="preserve">结果表明，VLSA/AEGIS 能够将障碍物碰倒率从 92% 降至 0%，但任务成功率也由 62% 降至 24%，并且全回合平均接触冲量增至 290.38 N·s。这说明严格的几何约束虽能阻止障碍物碰倒，但在本文场景中可能与任务进展发生冲突。相比之下，PACE 的两种完整配置在将碰倒率降至 12% 和 9% 的同时，任务成功率保持在 64% 和 77%，平均接触冲量为 29.38 N·s 和 25.52 N·s。由于各方法采用相同分布下的独立随机初始化，本文仅对 100 回合统计结果进行组间比较，不作逐回合配对解释。</w:t>
      </w:r>
    </w:p>
    <w:p>
      <w:pPr>
        <w:pStyle w:val="CaptionedFigure"/>
        <w:spacing w:before="100" w:after="40"/>
        <w:jc w:val="center"/>
      </w:pPr>
      <w:r>
        <w:rPr>
          <w:rFonts w:ascii="Times New Roman" w:hAnsi="Times New Roman" w:eastAsia="宋体"/>
          <w:color w:val="000000"/>
          <w:sz w:val="21"/>
        </w:rPr>
        <w:drawing>
          <wp:inline>
            <wp:extent cx="5334000" cy="2323974"/>
            <wp:effectExtent b="0" l="0" r="0" t="0"/>
            <wp:docPr descr="π0、VLSA/AEGIS 与 PACE 的 TCP 轨迹对比" title="" id="48" name="Picture"/>
            <a:graphic>
              <a:graphicData uri="http://schemas.openxmlformats.org/drawingml/2006/picture">
                <pic:pic>
                  <pic:nvPicPr>
                    <pic:cNvPr descr="paper_assets/figures/fig5_tcp_trajectories.png" id="49" name="Picture"/>
                    <pic:cNvPicPr>
                      <a:picLocks noChangeArrowheads="1" noChangeAspect="1"/>
                    </pic:cNvPicPr>
                  </pic:nvPicPr>
                  <pic:blipFill>
                    <a:blip r:embed="rId47"/>
                    <a:stretch>
                      <a:fillRect/>
                    </a:stretch>
                  </pic:blipFill>
                  <pic:spPr bwMode="auto">
                    <a:xfrm>
                      <a:off x="0" y="0"/>
                      <a:ext cx="5334000" cy="2323974"/>
                    </a:xfrm>
                    <a:prstGeom prst="rect">
                      <a:avLst/>
                    </a:prstGeom>
                    <a:noFill/>
                    <a:ln w="9525">
                      <a:noFill/>
                      <a:headEnd/>
                      <a:tailEnd/>
                    </a:ln>
                  </pic:spPr>
                </pic:pic>
              </a:graphicData>
            </a:graphic>
          </wp:inline>
        </w:drawing>
      </w:r>
    </w:p>
    <w:p>
      <w:pPr>
        <w:pStyle w:val="BodyText"/>
        <w:spacing w:before="40" w:after="120"/>
        <w:jc w:val="center"/>
      </w:pPr>
      <w:r>
        <w:rPr>
          <w:rFonts w:ascii="Times New Roman" w:hAnsi="Times New Roman" w:eastAsia="宋体"/>
          <w:color w:val="000000"/>
          <w:sz w:val="21"/>
        </w:rPr>
        <w:t xml:space="preserve">图 5 π0、VLSA/AEGIS 与 PACE（质量—阻尼）在固定初始位置下的 TCP 轨迹对比：左图为俯视轨迹，右图为侧视轨迹；圆点与交叉分别表示轨迹起点和终点。其中 VLSA/AEGIS 采用仿真真值障碍物几何，以隔离感知误差并展示 CBF-QP 的执行行为。本图用于轨迹形态的定性对比，定量结论以表 2 为准。</w:t>
      </w:r>
    </w:p>
    <w:bookmarkEnd w:id="50"/>
    <w:bookmarkEnd w:id="51"/>
    <w:bookmarkStart w:id="52" w:name="讨论与局限"/>
    <w:p>
      <w:pPr>
        <w:pStyle w:val="Heading1"/>
        <w:jc w:val="left"/>
      </w:pPr>
      <w:r>
        <w:t xml:space="preserve">7 讨论与局限</w:t>
      </w:r>
    </w:p>
    <w:p>
      <w:pPr>
        <w:pStyle w:val="FirstParagraph"/>
        <w:spacing w:line="300" w:lineRule="auto" w:before="0" w:after="0"/>
        <w:ind w:firstLine="420"/>
        <w:jc w:val="both"/>
      </w:pPr>
      <w:r>
        <w:rPr>
          <w:rFonts w:ascii="Times New Roman" w:hAnsi="Times New Roman" w:eastAsia="宋体"/>
          <w:color w:val="000000"/>
          <w:sz w:val="21"/>
        </w:rPr>
        <w:t xml:space="preserve">残余避障失败主要来自几何近似与离散更新。当前方法以胶囊体描述远端连杆、工具和障碍物，并在动作更新时重新计算主导分离方向，因此快速位形变化或包络误差仍可能造成少量未被及时修正的干涉。提高几何更新频率、采用更精细的多胶囊表示，或接入在线深度感知，均可进一步改善这一问题。</w:t>
      </w:r>
    </w:p>
    <w:p>
      <w:pPr>
        <w:pStyle w:val="BodyText"/>
        <w:spacing w:line="300" w:lineRule="auto" w:before="0" w:after="0"/>
        <w:ind w:firstLine="420"/>
        <w:jc w:val="both"/>
      </w:pPr>
      <w:r>
        <w:rPr>
          <w:rFonts w:ascii="Times New Roman" w:hAnsi="Times New Roman" w:eastAsia="宋体"/>
          <w:color w:val="000000"/>
          <w:sz w:val="21"/>
        </w:rPr>
        <w:t xml:space="preserve">当前规避方向包含向上跨越和向内回缩等桌面操作先验，适用于本文的拾放场景，但并不覆盖所有空间结构。在悬垂障碍、狭窄通道或障碍物同时影响抓取对齐时，固定方向先验可能降低可行性。更一般的实现可依据局部自由空间动态调整规避方向，而不再依赖单一场景经验。</w:t>
      </w:r>
    </w:p>
    <w:p>
      <w:pPr>
        <w:pStyle w:val="BodyText"/>
        <w:spacing w:line="300" w:lineRule="auto" w:before="0" w:after="0"/>
        <w:ind w:firstLine="420"/>
        <w:jc w:val="both"/>
      </w:pPr>
      <w:r>
        <w:rPr>
          <w:rFonts w:ascii="Times New Roman" w:hAnsi="Times New Roman" w:eastAsia="宋体"/>
          <w:color w:val="000000"/>
          <w:sz w:val="21"/>
        </w:rPr>
        <w:t xml:space="preserve">仿真到真机仍存在感知与力反馈差距。本文在 MuJoCo 中直接读取接触力，并假设障碍物几何已知；真实系统还需考虑力传感器噪声与带宽、坐标标定误差以及在线障碍定位误差。此外，当前两个模块由若干任务状态条件触发。对于插装、擦拭等更复杂接触任务，可进一步使用更通用的状态估计或视觉语言语义判断替代现有启发式触发。</w:t>
      </w:r>
    </w:p>
    <w:bookmarkEnd w:id="52"/>
    <w:bookmarkStart w:id="53" w:name="结论"/>
    <w:p>
      <w:pPr>
        <w:pStyle w:val="Heading1"/>
        <w:jc w:val="left"/>
      </w:pPr>
      <w:r>
        <w:t xml:space="preserve">8 结论</w:t>
      </w:r>
    </w:p>
    <w:p>
      <w:pPr>
        <w:pStyle w:val="FirstParagraph"/>
        <w:spacing w:line="300" w:lineRule="auto" w:before="0" w:after="0"/>
        <w:ind w:firstLine="420"/>
        <w:jc w:val="both"/>
      </w:pPr>
      <w:r>
        <w:rPr>
          <w:rFonts w:ascii="Times New Roman" w:hAnsi="Times New Roman" w:eastAsia="宋体"/>
          <w:color w:val="000000"/>
          <w:sz w:val="21"/>
        </w:rPr>
        <w:t xml:space="preserve">本文针对 VLA 在执行阶段缺乏显式物理约束的问题，提出 PACE。该方法不改变基础 VLA 的内部模型结构与动作生成算法，而是在动作输出之后并列引入几何避障与接触调节两个模块：前者通过胶囊体距离、状态相关安全裕度和局部运动增量修正降低障碍物干涉，后者通过各向异性导纳调节降低接触载荷。两个模块均只在相应风险出现时介入，并尽量保持基础动作意图。</w:t>
      </w:r>
    </w:p>
    <w:p>
      <w:pPr>
        <w:pStyle w:val="BodyText"/>
        <w:spacing w:line="300" w:lineRule="auto" w:before="0" w:after="0"/>
        <w:ind w:firstLine="420"/>
        <w:jc w:val="both"/>
      </w:pPr>
      <w:r>
        <w:rPr>
          <w:rFonts w:ascii="Times New Roman" w:hAnsi="Times New Roman" w:eastAsia="宋体"/>
          <w:color w:val="000000"/>
          <w:sz w:val="21"/>
        </w:rPr>
        <w:t xml:space="preserve">MuJoCo 螺丝刀拾放任务的 12 组随机初始化消融验证了两个模块的互补作用。在有障碍且关闭接触调节的条件下，启用几何避障后 SR 由 62% 提升至 95%，CR 由 92% 降至 1%；在同时启用几何避障与接触调节的两种完整配置中，采用负载相关增益的离散增量映射时，CR 为 12%，平均接触冲量为 29.38 N·s，SR 为 64%；采用质量—阻尼参考动力学时，CR 为 9%，平均接触冲量为 25.52 N·s，SR 为 77%。两种完整配置相较无约束配置的 159.54 N·s，平均接触冲量分别降低 81.6% 和 84.0%。同时，完整配置的平均峰值关节扭矩高于无约束基线，表明执行时安全修正并非无代价。总体上，PACE 能够在不改动 VLA 内部算法的条件下同时处理障碍物干涉与接触载荷，但不同调节方式需要结合任务成功、碰倒风险和控制负载进行选择。后续工作将重点接入在线障碍感知与真实力传感反馈，并在更复杂操作任务和真机平台上验证方法的泛化性。</w:t>
      </w:r>
    </w:p>
    <w:bookmarkEnd w:id="53"/>
    <w:bookmarkStart w:id="54" w:name="附录-a-超参数设置"/>
    <w:p>
      <w:pPr>
        <w:pStyle w:val="Heading1"/>
        <w:jc w:val="left"/>
      </w:pPr>
      <w:r>
        <w:t xml:space="preserve">附录 A 超参数设置</w:t>
      </w:r>
    </w:p>
    <w:p>
      <w:pPr>
        <w:pStyle w:val="FirstParagraph"/>
        <w:spacing w:line="300" w:lineRule="auto" w:before="0" w:after="0"/>
        <w:ind w:firstLine="420"/>
        <w:jc w:val="both"/>
      </w:pPr>
      <w:r>
        <w:rPr>
          <w:rFonts w:ascii="Times New Roman" w:hAnsi="Times New Roman" w:eastAsia="宋体"/>
          <w:color w:val="000000"/>
          <w:sz w:val="21"/>
        </w:rPr>
        <w:t xml:space="preserve">超参数集中列于表 A1。</w:t>
      </w:r>
    </w:p>
    <w:p>
      <w:pPr>
        <w:pStyle w:val="BodyText"/>
        <w:spacing w:line="300" w:lineRule="auto" w:before="0" w:after="0"/>
        <w:ind w:firstLine="420"/>
        <w:jc w:val="both"/>
      </w:pPr>
      <w:r>
        <w:rPr>
          <w:rFonts w:ascii="Times New Roman" w:hAnsi="Times New Roman" w:eastAsia="宋体"/>
          <w:color w:val="000000"/>
          <w:sz w:val="21"/>
        </w:rPr>
        <w:t xml:space="preserve">表 A1：超参数汇总</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1980"/>
        <w:gridCol w:w="1980"/>
        <w:gridCol w:w="1980"/>
        <w:gridCol w:w="1980"/>
      </w:tblGrid>
      <w:tr>
        <w:trPr>
          <w:tblHeader w:val="on"/>
          <w:tblHeader w:val="true"/>
        </w:trPr>
        <w:tc>
          <w:tcPr>
            <w:tcW w:type="dxa" w:w="1417"/>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符号</w:t>
            </w:r>
          </w:p>
        </w:tc>
        <w:tc>
          <w:tcPr>
            <w:tcW w:type="dxa" w:w="4082"/>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含义</w:t>
            </w:r>
          </w:p>
        </w:tc>
        <w:tc>
          <w:tcPr>
            <w:tcW w:type="dxa" w:w="1757"/>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取值</w:t>
            </w:r>
          </w:p>
        </w:tc>
        <w:tc>
          <w:tcPr>
            <w:tcW w:type="dxa" w:w="1814"/>
            <w:tcBorders>
              <w:bottom w:val="single" w:sz="8" w:color="000000"/>
            </w:tcBorders>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color w:val="000000"/>
                <w:sz w:val="17"/>
              </w:rPr>
              <w:t xml:space="preserve">出处</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z</m:t>
                  </m:r>
                </m:e>
                <m:sub>
                  <m:r>
                    <m:t>s</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支撑面高度</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0.212 m</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§3</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z</m:t>
                  </m:r>
                </m:e>
                <m:sub>
                  <m:r>
                    <m:t>w</m:t>
                  </m:r>
                </m:sub>
              </m:sSub>
            </m:oMath>
            <w:r>
              <w:rPr>
                <w:rFonts w:ascii="Times New Roman" w:hAnsi="Times New Roman" w:eastAsia="宋体"/>
                <w:b w:val="0"/>
                <w:color w:val="000000"/>
                <w:sz w:val="17"/>
              </w:rPr>
              <w:t xml:space="preserve">,</w:t>
            </w:r>
            <w:r>
              <w:rPr>
                <w:rFonts w:ascii="Times New Roman" w:hAnsi="Times New Roman" w:eastAsia="宋体"/>
                <w:b w:val="0"/>
                <w:color w:val="000000"/>
                <w:sz w:val="17"/>
              </w:rPr>
              <w:t xml:space="preserve"> </w:t>
            </w:r>
            <m:oMath>
              <m:sSub>
                <m:e>
                  <m:r>
                    <m:t>z</m:t>
                  </m:r>
                </m:e>
                <m:sub>
                  <m:r>
                    <m:t>l</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接触激活高度 / 工具抬升判据</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0.235 m</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§4.2, §4.3</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Z</m:t>
                  </m:r>
                </m:e>
                <m:sub>
                  <m:r>
                    <m:rPr>
                      <m:sty m:val="p"/>
                    </m:rPr>
                    <m:t>b</m:t>
                  </m:r>
                  <m:r>
                    <m:rPr>
                      <m:sty m:val="p"/>
                    </m:rPr>
                    <m:t>a</m:t>
                  </m:r>
                  <m:r>
                    <m:rPr>
                      <m:sty m:val="p"/>
                    </m:rPr>
                    <m:t>n</m:t>
                  </m:r>
                  <m:r>
                    <m:rPr>
                      <m:sty m:val="p"/>
                    </m:rPr>
                    <m:t>d</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接触力筛选高度带</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(0.18, 0.22) m</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(1)</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w</m:t>
                  </m:r>
                </m:e>
                <m:sub>
                  <m:r>
                    <m:t>t</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切向顺应权重</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0.1</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(2)</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f</m:t>
                  </m:r>
                </m:e>
                <m:sub>
                  <m:r>
                    <m:t>d</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力死区</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0.5 N</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(2)</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k</m:t>
                  </m:r>
                </m:e>
                <m:sub>
                  <m:r>
                    <m:t>0</m:t>
                  </m:r>
                </m:sub>
              </m:sSub>
            </m:oMath>
            <w:r>
              <w:rPr>
                <w:rFonts w:ascii="Times New Roman" w:hAnsi="Times New Roman" w:eastAsia="宋体"/>
                <w:b w:val="0"/>
                <w:color w:val="000000"/>
                <w:sz w:val="17"/>
              </w:rPr>
              <w:t xml:space="preserve">,</w:t>
            </w:r>
            <w:r>
              <w:rPr>
                <w:rFonts w:ascii="Times New Roman" w:hAnsi="Times New Roman" w:eastAsia="宋体"/>
                <w:b w:val="0"/>
                <w:color w:val="000000"/>
                <w:sz w:val="17"/>
              </w:rPr>
              <w:t xml:space="preserve"> </w:t>
            </w:r>
            <m:oMath>
              <m:sSub>
                <m:e>
                  <m:r>
                    <m:t>k</m:t>
                  </m:r>
                </m:e>
                <m:sub>
                  <m:r>
                    <m:t>1</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形式 I 导纳增益</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1e−3, 3e−3</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(3)</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ξ</m:t>
                  </m:r>
                </m:e>
                <m:sub>
                  <m:r>
                    <m:rPr>
                      <m:sty m:val="p"/>
                    </m:rPr>
                    <m:t>max</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单步顺应增量饱和</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0.05 m</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(3)(4)</w:t>
            </w:r>
          </w:p>
        </w:tc>
      </w:tr>
      <w:tr>
        <w:tc>
          <w:tcPr>
            <w:tcW w:type="dxa" w:w="1417"/>
            <w:vAlign w:val="center"/>
            <w:tcMar>
              <w:top w:w="90" w:type="dxa"/>
              <w:start w:w="90" w:type="dxa"/>
              <w:bottom w:w="90" w:type="dxa"/>
              <w:end w:w="90" w:type="dxa"/>
            </w:tcMar>
          </w:tcPr>
          <w:p>
            <w:pPr>
              <w:pStyle w:val="Compact"/>
              <w:spacing w:before="20" w:after="20" w:line="240" w:lineRule="auto"/>
              <w:jc w:val="center"/>
            </w:pPr>
            <m:oMath>
              <m:r>
                <m:t>α</m:t>
              </m:r>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形式 I 滤波系数</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clip(0.02 + 0.01‖</w:t>
            </w:r>
            <m:oMath>
              <m:sSub>
                <m:e>
                  <m:r>
                    <m:t>f</m:t>
                  </m:r>
                </m:e>
                <m:sub>
                  <m:r>
                    <m:t>c</m:t>
                  </m:r>
                </m:sub>
              </m:sSub>
            </m:oMath>
            <w:r>
              <w:rPr>
                <w:rFonts w:ascii="Times New Roman" w:hAnsi="Times New Roman" w:eastAsia="宋体"/>
                <w:b w:val="0"/>
                <w:color w:val="000000"/>
                <w:sz w:val="17"/>
              </w:rPr>
              <w:t xml:space="preserve">‖, 0.02, 0.1)</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(3)</w:t>
            </w:r>
          </w:p>
        </w:tc>
      </w:tr>
      <w:tr>
        <w:tc>
          <w:tcPr>
            <w:tcW w:type="dxa" w:w="1417"/>
            <w:vAlign w:val="center"/>
            <w:tcMar>
              <w:top w:w="90" w:type="dxa"/>
              <w:start w:w="90" w:type="dxa"/>
              <w:bottom w:w="90" w:type="dxa"/>
              <w:end w:w="90" w:type="dxa"/>
            </w:tcMar>
          </w:tcPr>
          <w:p>
            <w:pPr>
              <w:pStyle w:val="Compact"/>
              <w:spacing w:before="20" w:after="20" w:line="240" w:lineRule="auto"/>
              <w:jc w:val="center"/>
            </w:pPr>
            <m:oMathPara>
              <m:oMathParaPr>
                <m:jc m:val="center"/>
              </m:oMathParaPr>
              <m:oMath>
                <m:r>
                  <m:t>λ</m:t>
                </m:r>
              </m:oMath>
            </m:oMathPara>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形式 II 力预滤波系数</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0.1</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(4)</w:t>
            </w:r>
          </w:p>
        </w:tc>
      </w:tr>
      <w:tr>
        <w:tc>
          <w:tcPr>
            <w:tcW w:type="dxa" w:w="1417"/>
            <w:vAlign w:val="center"/>
            <w:tcMar>
              <w:top w:w="90" w:type="dxa"/>
              <w:start w:w="90" w:type="dxa"/>
              <w:bottom w:w="90" w:type="dxa"/>
              <w:end w:w="90" w:type="dxa"/>
            </w:tcMar>
          </w:tcPr>
          <w:p>
            <w:pPr>
              <w:pStyle w:val="Compact"/>
              <w:spacing w:before="20" w:after="20" w:line="240" w:lineRule="auto"/>
              <w:jc w:val="center"/>
            </w:pPr>
            <m:oMath>
              <m:r>
                <m:t>M</m:t>
              </m:r>
            </m:oMath>
            <w:r>
              <w:rPr>
                <w:rFonts w:ascii="Times New Roman" w:hAnsi="Times New Roman" w:eastAsia="宋体"/>
                <w:b w:val="0"/>
                <w:color w:val="000000"/>
                <w:sz w:val="17"/>
              </w:rPr>
              <w:t xml:space="preserve">,</w:t>
            </w:r>
            <w:r>
              <w:rPr>
                <w:rFonts w:ascii="Times New Roman" w:hAnsi="Times New Roman" w:eastAsia="宋体"/>
                <w:b w:val="0"/>
                <w:color w:val="000000"/>
                <w:sz w:val="17"/>
              </w:rPr>
              <w:t xml:space="preserve"> </w:t>
            </w:r>
            <m:oMath>
              <m:r>
                <m:t>B</m:t>
              </m:r>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形式 II 参考动力学参数</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3.0, 150.0（</w:t>
            </w:r>
            <m:oMath>
              <m:r>
                <m:t>M</m:t>
              </m:r>
              <m:r>
                <m:rPr>
                  <m:sty m:val="p"/>
                </m:rPr>
                <m:t>/</m:t>
              </m:r>
              <m:r>
                <m:t>B</m:t>
              </m:r>
            </m:oMath>
            <w:r>
              <w:rPr>
                <w:rFonts w:ascii="Times New Roman" w:hAnsi="Times New Roman" w:eastAsia="宋体"/>
                <w:b w:val="0"/>
                <w:color w:val="000000"/>
                <w:sz w:val="17"/>
              </w:rPr>
              <w:t xml:space="preserve"> </w:t>
            </w:r>
            <w:r>
              <w:rPr>
                <w:rFonts w:ascii="Times New Roman" w:hAnsi="Times New Roman" w:eastAsia="宋体"/>
                <w:b w:val="0"/>
                <w:color w:val="000000"/>
                <w:sz w:val="17"/>
              </w:rPr>
              <w:t xml:space="preserve">= 20 ms）</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(4)</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η</m:t>
                  </m:r>
                </m:e>
                <m:sub>
                  <m:r>
                    <m:t>v</m:t>
                  </m:r>
                </m:sub>
              </m:sSub>
            </m:oMath>
            <w:r>
              <w:rPr>
                <w:rFonts w:ascii="Times New Roman" w:hAnsi="Times New Roman" w:eastAsia="宋体"/>
                <w:b w:val="0"/>
                <w:color w:val="000000"/>
                <w:sz w:val="17"/>
              </w:rPr>
              <w:t xml:space="preserve">,</w:t>
            </w:r>
            <w:r>
              <w:rPr>
                <w:rFonts w:ascii="Times New Roman" w:hAnsi="Times New Roman" w:eastAsia="宋体"/>
                <w:b w:val="0"/>
                <w:color w:val="000000"/>
                <w:sz w:val="17"/>
              </w:rPr>
              <w:t xml:space="preserve"> </w:t>
            </w:r>
            <m:oMath>
              <m:sSub>
                <m:e>
                  <m:r>
                    <m:t>η</m:t>
                  </m:r>
                </m:e>
                <m:sub>
                  <m:r>
                    <m:t>f</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顺应状态释放系数</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0.92, 0.8</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§4.2</w:t>
            </w:r>
          </w:p>
        </w:tc>
      </w:tr>
      <w:tr>
        <w:tc>
          <w:tcPr>
            <w:tcW w:type="dxa" w:w="1417"/>
            <w:vAlign w:val="center"/>
            <w:tcMar>
              <w:top w:w="90" w:type="dxa"/>
              <w:start w:w="90" w:type="dxa"/>
              <w:bottom w:w="90" w:type="dxa"/>
              <w:end w:w="90" w:type="dxa"/>
            </w:tcMar>
          </w:tcPr>
          <w:p>
            <w:pPr>
              <w:pStyle w:val="Compact"/>
              <w:spacing w:before="20" w:after="20" w:line="240" w:lineRule="auto"/>
              <w:jc w:val="center"/>
            </w:pPr>
            <m:oMathPara>
              <m:oMathParaPr>
                <m:jc m:val="center"/>
              </m:oMathParaPr>
              <m:oMath>
                <m:r>
                  <m:t>ρ</m:t>
                </m:r>
              </m:oMath>
            </m:oMathPara>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DLS 阻尼因子</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0.05</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(5)(13)</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r</m:t>
                  </m:r>
                </m:e>
                <m:sub>
                  <m:r>
                    <m:t>a</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远端连杆胶囊体半径</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0.07 m</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(7)</w:t>
            </w:r>
          </w:p>
        </w:tc>
      </w:tr>
      <w:tr>
        <w:tc>
          <w:tcPr>
            <w:tcW w:type="dxa" w:w="1417"/>
            <w:vAlign w:val="center"/>
            <w:tcMar>
              <w:top w:w="90" w:type="dxa"/>
              <w:start w:w="90" w:type="dxa"/>
              <w:bottom w:w="90" w:type="dxa"/>
              <w:end w:w="90" w:type="dxa"/>
            </w:tcMar>
          </w:tcPr>
          <w:p>
            <w:pPr>
              <w:pStyle w:val="Compact"/>
              <w:spacing w:before="20" w:after="20" w:line="240" w:lineRule="auto"/>
              <w:jc w:val="center"/>
            </w:pPr>
            <m:oMath>
              <m:r>
                <m:t>L</m:t>
              </m:r>
            </m:oMath>
            <w:r>
              <w:rPr>
                <w:rFonts w:ascii="Times New Roman" w:hAnsi="Times New Roman" w:eastAsia="宋体"/>
                <w:b w:val="0"/>
                <w:color w:val="000000"/>
                <w:sz w:val="17"/>
              </w:rPr>
              <w:t xml:space="preserve">,</w:t>
            </w:r>
            <w:r>
              <w:rPr>
                <w:rFonts w:ascii="Times New Roman" w:hAnsi="Times New Roman" w:eastAsia="宋体"/>
                <w:b w:val="0"/>
                <w:color w:val="000000"/>
                <w:sz w:val="17"/>
              </w:rPr>
              <w:t xml:space="preserve"> </w:t>
            </w:r>
            <m:oMath>
              <m:sSub>
                <m:e>
                  <m:r>
                    <m:t>r</m:t>
                  </m:r>
                </m:e>
                <m:sub>
                  <m:r>
                    <m:t>t</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工具胶囊体半长 / 半径</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0.12 m, 0.02 m</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(7)</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δ</m:t>
                  </m:r>
                </m:e>
                <m:sub>
                  <m:r>
                    <m:t>0</m:t>
                  </m:r>
                </m:sub>
              </m:sSub>
            </m:oMath>
            <w:r>
              <w:rPr>
                <w:rFonts w:ascii="Times New Roman" w:hAnsi="Times New Roman" w:eastAsia="宋体"/>
                <w:b w:val="0"/>
                <w:color w:val="000000"/>
                <w:sz w:val="17"/>
              </w:rPr>
              <w:t xml:space="preserve">,</w:t>
            </w:r>
            <w:r>
              <w:rPr>
                <w:rFonts w:ascii="Times New Roman" w:hAnsi="Times New Roman" w:eastAsia="宋体"/>
                <w:b w:val="0"/>
                <w:color w:val="000000"/>
                <w:sz w:val="17"/>
              </w:rPr>
              <w:t xml:space="preserve"> </w:t>
            </w:r>
            <m:oMath>
              <m:r>
                <m:t>κ</m:t>
              </m:r>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安全裕度基值 / 距离系数</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0.025, 0.4</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(9)</w:t>
            </w:r>
          </w:p>
        </w:tc>
      </w:tr>
      <w:tr>
        <w:tc>
          <w:tcPr>
            <w:tcW w:type="dxa" w:w="1417"/>
            <w:vAlign w:val="center"/>
            <w:tcMar>
              <w:top w:w="90" w:type="dxa"/>
              <w:start w:w="90" w:type="dxa"/>
              <w:bottom w:w="90" w:type="dxa"/>
              <w:end w:w="90" w:type="dxa"/>
            </w:tcMar>
          </w:tcPr>
          <w:p>
            <w:pPr>
              <w:pStyle w:val="Compact"/>
              <w:spacing w:before="20" w:after="20" w:line="240" w:lineRule="auto"/>
              <w:jc w:val="center"/>
            </w:pPr>
            <m:oMath>
              <m:d>
                <m:dPr>
                  <m:begChr m:val="["/>
                  <m:endChr m:val="]"/>
                  <m:sepChr m:val=""/>
                  <m:grow/>
                </m:dPr>
                <m:e>
                  <m:sSub>
                    <m:e>
                      <m:r>
                        <m:t>δ</m:t>
                      </m:r>
                    </m:e>
                    <m:sub>
                      <m:r>
                        <m:rPr>
                          <m:sty m:val="p"/>
                        </m:rPr>
                        <m:t>min</m:t>
                      </m:r>
                    </m:sub>
                  </m:sSub>
                  <m:r>
                    <m:rPr>
                      <m:sty m:val="p"/>
                    </m:rPr>
                    <m:t>,</m:t>
                  </m:r>
                  <m:sSub>
                    <m:e>
                      <m:r>
                        <m:t>δ</m:t>
                      </m:r>
                    </m:e>
                    <m:sub>
                      <m:r>
                        <m:rPr>
                          <m:sty m:val="p"/>
                        </m:rPr>
                        <m:t>max</m:t>
                      </m:r>
                    </m:sub>
                  </m:sSub>
                </m:e>
              </m:d>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安全裕度上下界</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[0.025, 0.08] m</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(9)</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ρ</m:t>
                  </m:r>
                </m:e>
                <m:sub>
                  <m:r>
                    <m:t>0</m:t>
                  </m:r>
                </m:sub>
              </m:sSub>
            </m:oMath>
            <w:r>
              <w:rPr>
                <w:rFonts w:ascii="Times New Roman" w:hAnsi="Times New Roman" w:eastAsia="宋体"/>
                <w:b w:val="0"/>
                <w:color w:val="000000"/>
                <w:sz w:val="17"/>
              </w:rPr>
              <w:t xml:space="preserve">,</w:t>
            </w:r>
            <w:r>
              <w:rPr>
                <w:rFonts w:ascii="Times New Roman" w:hAnsi="Times New Roman" w:eastAsia="宋体"/>
                <w:b w:val="0"/>
                <w:color w:val="000000"/>
                <w:sz w:val="17"/>
              </w:rPr>
              <w:t xml:space="preserve"> </w:t>
            </w:r>
            <m:oMath>
              <m:r>
                <m:t>Δ</m:t>
              </m:r>
              <m:r>
                <m:t>ρ</m:t>
              </m:r>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目标衰减起点 / 宽度</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0.035 m, 0.065 m</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(10)</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K</m:t>
                  </m:r>
                </m:e>
                <m:sub>
                  <m:r>
                    <m:t>0</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激活渐入长度</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15 步</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(10)</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μ</m:t>
                  </m:r>
                </m:e>
                <m:sub>
                  <m:r>
                    <m:rPr>
                      <m:sty m:val="p"/>
                    </m:rPr>
                    <m:t>min</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修正丢弃阈值</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0.005</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§4.3</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w</m:t>
                  </m:r>
                </m:e>
                <m:sub>
                  <m:r>
                    <m:t>u</m:t>
                  </m:r>
                </m:sub>
              </m:sSub>
            </m:oMath>
            <w:r>
              <w:rPr>
                <w:rFonts w:ascii="Times New Roman" w:hAnsi="Times New Roman" w:eastAsia="宋体"/>
                <w:b w:val="0"/>
                <w:color w:val="000000"/>
                <w:sz w:val="17"/>
              </w:rPr>
              <w:t xml:space="preserve">,</w:t>
            </w:r>
            <w:r>
              <w:rPr>
                <w:rFonts w:ascii="Times New Roman" w:hAnsi="Times New Roman" w:eastAsia="宋体"/>
                <w:b w:val="0"/>
                <w:color w:val="000000"/>
                <w:sz w:val="17"/>
              </w:rPr>
              <w:t xml:space="preserve"> </w:t>
            </w:r>
            <m:oMath>
              <m:sSub>
                <m:e>
                  <m:r>
                    <m:t>w</m:t>
                  </m:r>
                </m:e>
                <m:sub>
                  <m:r>
                    <m:t>r</m:t>
                  </m:r>
                </m:sub>
              </m:sSub>
            </m:oMath>
            <w:r>
              <w:rPr>
                <w:rFonts w:ascii="Times New Roman" w:hAnsi="Times New Roman" w:eastAsia="宋体"/>
                <w:b w:val="0"/>
                <w:color w:val="000000"/>
                <w:sz w:val="17"/>
              </w:rPr>
              <w:t xml:space="preserve">,</w:t>
            </w:r>
            <w:r>
              <w:rPr>
                <w:rFonts w:ascii="Times New Roman" w:hAnsi="Times New Roman" w:eastAsia="宋体"/>
                <w:b w:val="0"/>
                <w:color w:val="000000"/>
                <w:sz w:val="17"/>
              </w:rPr>
              <w:t xml:space="preserve"> </w:t>
            </w:r>
            <m:oMath>
              <m:sSub>
                <m:e>
                  <m:r>
                    <m:t>w</m:t>
                  </m:r>
                </m:e>
                <m:sub>
                  <m:r>
                    <m:t>n</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抬升 / 回缩 / 径向分离权重</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0.045, 0.020, 0.010</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(12)</w:t>
            </w:r>
          </w:p>
        </w:tc>
      </w:tr>
      <w:tr>
        <w:tc>
          <w:tcPr>
            <w:tcW w:type="dxa" w:w="1417"/>
            <w:vAlign w:val="center"/>
            <w:tcMar>
              <w:top w:w="90" w:type="dxa"/>
              <w:start w:w="90" w:type="dxa"/>
              <w:bottom w:w="90" w:type="dxa"/>
              <w:end w:w="90" w:type="dxa"/>
            </w:tcMar>
          </w:tcPr>
          <w:p>
            <w:pPr>
              <w:pStyle w:val="Compact"/>
              <w:spacing w:before="20" w:after="20" w:line="240" w:lineRule="auto"/>
              <w:jc w:val="center"/>
            </w:pPr>
            <m:oMathPara>
              <m:oMathParaPr>
                <m:jc m:val="center"/>
              </m:oMathParaPr>
              <m:oMath>
                <m:r>
                  <m:t>β</m:t>
                </m:r>
              </m:oMath>
            </m:oMathPara>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关节位移低通系数</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0.6</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(15)</w:t>
            </w:r>
          </w:p>
        </w:tc>
      </w:tr>
      <w:tr>
        <w:tc>
          <w:tcPr>
            <w:tcW w:type="dxa" w:w="1417"/>
            <w:vAlign w:val="center"/>
            <w:tcMar>
              <w:top w:w="90" w:type="dxa"/>
              <w:start w:w="90" w:type="dxa"/>
              <w:bottom w:w="90" w:type="dxa"/>
              <w:end w:w="90" w:type="dxa"/>
            </w:tcMar>
          </w:tcPr>
          <w:p>
            <w:pPr>
              <w:pStyle w:val="Compact"/>
              <w:spacing w:before="20" w:after="20" w:line="240" w:lineRule="auto"/>
              <w:jc w:val="center"/>
            </w:pPr>
            <m:oMath>
              <m:sSub>
                <m:e>
                  <m:r>
                    <m:t>Δ</m:t>
                  </m:r>
                </m:e>
                <m:sub>
                  <m:r>
                    <m:rPr>
                      <m:sty m:val="p"/>
                    </m:rPr>
                    <m:t>max</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单步关节位移限幅</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0.25 rad</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式 (16)</w:t>
            </w:r>
          </w:p>
        </w:tc>
      </w:tr>
      <w:tr>
        <w:tc>
          <w:tcPr>
            <w:tcW w:type="dxa" w:w="1417"/>
            <w:vAlign w:val="center"/>
            <w:tcMar>
              <w:top w:w="90" w:type="dxa"/>
              <w:start w:w="90" w:type="dxa"/>
              <w:bottom w:w="90" w:type="dxa"/>
              <w:end w:w="90" w:type="dxa"/>
            </w:tcMar>
          </w:tcPr>
          <w:p>
            <w:pPr>
              <w:pStyle w:val="Compact"/>
              <w:spacing w:before="20" w:after="20" w:line="240" w:lineRule="auto"/>
              <w:jc w:val="center"/>
            </w:pPr>
            <m:oMath>
              <m:r>
                <m:t>H</m:t>
              </m:r>
            </m:oMath>
            <w:r>
              <w:rPr>
                <w:rFonts w:ascii="Times New Roman" w:hAnsi="Times New Roman" w:eastAsia="宋体"/>
                <w:b w:val="0"/>
                <w:color w:val="000000"/>
                <w:sz w:val="17"/>
              </w:rPr>
              <w:t xml:space="preserve">,</w:t>
            </w:r>
            <w:r>
              <w:rPr>
                <w:rFonts w:ascii="Times New Roman" w:hAnsi="Times New Roman" w:eastAsia="宋体"/>
                <w:b w:val="0"/>
                <w:color w:val="000000"/>
                <w:sz w:val="17"/>
              </w:rPr>
              <w:t xml:space="preserve"> </w:t>
            </w:r>
            <m:oMath>
              <m:sSub>
                <m:e>
                  <m:r>
                    <m:t>N</m:t>
                  </m:r>
                </m:e>
                <m:sub>
                  <m:r>
                    <m:t>s</m:t>
                  </m:r>
                </m:sub>
              </m:sSub>
            </m:oMath>
          </w:p>
        </w:tc>
        <w:tc>
          <w:tcPr>
            <w:tcW w:type="dxa" w:w="4082"/>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动作块长度 / 每动作子步数</w:t>
            </w:r>
          </w:p>
        </w:tc>
        <w:tc>
          <w:tcPr>
            <w:tcW w:type="dxa" w:w="1757"/>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8, 50</w:t>
            </w:r>
          </w:p>
        </w:tc>
        <w:tc>
          <w:tcPr>
            <w:tcW w:type="dxa" w:w="1814"/>
            <w:vAlign w:val="center"/>
            <w:tcMar>
              <w:top w:w="90" w:type="dxa"/>
              <w:start w:w="90" w:type="dxa"/>
              <w:bottom w:w="90" w:type="dxa"/>
              <w:end w:w="90" w:type="dxa"/>
            </w:tcMar>
          </w:tcPr>
          <w:p>
            <w:pPr>
              <w:pStyle w:val="Compact"/>
              <w:spacing w:before="20" w:after="20" w:line="240" w:lineRule="auto"/>
              <w:jc w:val="center"/>
            </w:pPr>
            <w:r>
              <w:rPr>
                <w:rFonts w:ascii="Times New Roman" w:hAnsi="Times New Roman" w:eastAsia="宋体"/>
                <w:b w:val="0"/>
                <w:color w:val="000000"/>
                <w:sz w:val="17"/>
              </w:rPr>
              <w:t xml:space="preserve">§5.1</w:t>
            </w:r>
          </w:p>
        </w:tc>
      </w:tr>
    </w:tbl>
    <w:bookmarkEnd w:id="54"/>
    <w:bookmarkStart w:id="69" w:name="参考文献"/>
    <w:p>
      <w:pPr>
        <w:pStyle w:val="Heading1"/>
        <w:jc w:val="left"/>
      </w:pPr>
      <w:r>
        <w:t xml:space="preserve">参考文献</w:t>
      </w:r>
    </w:p>
    <w:p>
      <w:pPr>
        <w:pStyle w:val="FirstParagraph"/>
        <w:spacing w:after="60"/>
        <w:ind w:left="420" w:hanging="420"/>
        <w:jc w:val="both"/>
      </w:pPr>
      <w:r>
        <w:rPr>
          <w:rFonts w:ascii="Times New Roman" w:hAnsi="Times New Roman" w:eastAsia="宋体"/>
          <w:color w:val="000000"/>
          <w:sz w:val="21"/>
        </w:rPr>
        <w:t xml:space="preserve">[1] A. D. Ames, X. Xu, J. W. Grizzle, and P. Tabuada. Control barrier function based quadratic programs for safety critical systems. IEEE Transactions on Automatic Control, 62(8):3861-3876, 2017.</w:t>
      </w:r>
    </w:p>
    <w:p>
      <w:pPr>
        <w:pStyle w:val="BodyText"/>
        <w:spacing w:after="60"/>
        <w:ind w:left="420" w:hanging="420"/>
        <w:jc w:val="both"/>
      </w:pPr>
      <w:r>
        <w:rPr>
          <w:rFonts w:ascii="Times New Roman" w:hAnsi="Times New Roman" w:eastAsia="宋体"/>
          <w:color w:val="000000"/>
          <w:sz w:val="21"/>
        </w:rPr>
        <w:t xml:space="preserve">[2] A. D. Ames, S. Coogan, M. Egerstedt, G. Notomista, K. Sreenath, and P. Tabuada. Control barrier functions: Theory and applications. In European Control Conference, pages 3420-3431, 2019.</w:t>
      </w:r>
    </w:p>
    <w:p>
      <w:pPr>
        <w:pStyle w:val="BodyText"/>
        <w:spacing w:after="60"/>
        <w:ind w:left="420" w:hanging="420"/>
        <w:jc w:val="both"/>
      </w:pPr>
      <w:r>
        <w:rPr>
          <w:rFonts w:ascii="Times New Roman" w:hAnsi="Times New Roman" w:eastAsia="宋体"/>
          <w:color w:val="000000"/>
          <w:sz w:val="21"/>
        </w:rPr>
        <w:t xml:space="preserve">[3] K. Black, N. Brown, D. Driess, A. Esmail, M. Equi, C. Finn, et al. π0: A vision-language-action flow model for general robot control. arXiv preprint, 2024.</w:t>
      </w:r>
      <w:r>
        <w:rPr>
          <w:rFonts w:ascii="Times New Roman" w:hAnsi="Times New Roman" w:eastAsia="宋体"/>
          <w:color w:val="000000"/>
          <w:sz w:val="21"/>
        </w:rPr>
        <w:t xml:space="preserve"> </w:t>
      </w:r>
      <w:hyperlink r:id="rId55">
        <w:r>
          <w:rPr>
            <w:rStyle w:val="Hyperlink"/>
          </w:rPr>
          <w:t xml:space="preserve">arXiv:2410.24164</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[4] B. Zitkovich, T. Yu, S. Xu, P. Xu, T. Xiao, F. Xia, et al. RT-2: Vision-language-action models transfer web knowledge to robotic control. In Proceedings of the 7th Conference on Robot Learning, PMLR 229:2165-2183, 2023.</w:t>
      </w:r>
      <w:r>
        <w:rPr>
          <w:rFonts w:ascii="Times New Roman" w:hAnsi="Times New Roman" w:eastAsia="宋体"/>
          <w:color w:val="000000"/>
          <w:sz w:val="21"/>
        </w:rPr>
        <w:t xml:space="preserve"> </w:t>
      </w:r>
      <w:hyperlink r:id="rId56">
        <w:r>
          <w:rPr>
            <w:rStyle w:val="Hyperlink"/>
          </w:rPr>
          <w:t xml:space="preserve">论文集</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[5] C. Dawson, S. Gao, and C. Fan. Safe control with learned certificates: A survey of neural Lyapunov, barrier, and contraction methods for robotics and control. IEEE Transactions on Robotics, 39(3):1749-1767, 2023.</w:t>
      </w:r>
      <w:r>
        <w:rPr>
          <w:rFonts w:ascii="Times New Roman" w:hAnsi="Times New Roman" w:eastAsia="宋体"/>
          <w:color w:val="000000"/>
          <w:sz w:val="21"/>
        </w:rPr>
        <w:t xml:space="preserve"> </w:t>
      </w:r>
      <w:hyperlink r:id="rId57">
        <w:r>
          <w:rPr>
            <w:rStyle w:val="Hyperlink"/>
          </w:rPr>
          <w:t xml:space="preserve">DOI</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[6] S. S. Ge and Y. J. Cui. New potential functions for mobile robot path planning. IEEE Transactions on Robotics and Automation, 16(5):615-620, 2000.</w:t>
      </w:r>
    </w:p>
    <w:p>
      <w:pPr>
        <w:pStyle w:val="BodyText"/>
        <w:spacing w:after="60"/>
        <w:ind w:left="420" w:hanging="420"/>
        <w:jc w:val="both"/>
      </w:pPr>
      <w:r>
        <w:rPr>
          <w:rFonts w:ascii="Times New Roman" w:hAnsi="Times New Roman" w:eastAsia="宋体"/>
          <w:color w:val="000000"/>
          <w:sz w:val="21"/>
        </w:rPr>
        <w:t xml:space="preserve">[7] S. Haddadin, A. De Luca, and A. Albu-Schäffer. Robot collisions: A survey on detection, isolation, and identification. IEEE Transactions on Robotics, 33(6):1292-1312, 2017.</w:t>
      </w:r>
    </w:p>
    <w:p>
      <w:pPr>
        <w:pStyle w:val="BodyText"/>
        <w:spacing w:after="60"/>
        <w:ind w:left="420" w:hanging="420"/>
        <w:jc w:val="both"/>
      </w:pPr>
      <w:r>
        <w:rPr>
          <w:rFonts w:ascii="Times New Roman" w:hAnsi="Times New Roman" w:eastAsia="宋体"/>
          <w:color w:val="000000"/>
          <w:sz w:val="21"/>
        </w:rPr>
        <w:t xml:space="preserve">[8] S. Hu, Z. Liu, S. Liu, J. Cen, Z. Meng, and X. He. VLSA: Vision-language-action models with plug-and-play safety constraint layer. arXiv preprint, 2025.</w:t>
      </w:r>
      <w:r>
        <w:rPr>
          <w:rFonts w:ascii="Times New Roman" w:hAnsi="Times New Roman" w:eastAsia="宋体"/>
          <w:color w:val="000000"/>
          <w:sz w:val="21"/>
        </w:rPr>
        <w:t xml:space="preserve"> </w:t>
      </w:r>
      <w:hyperlink r:id="rId58">
        <w:r>
          <w:rPr>
            <w:rStyle w:val="Hyperlink"/>
          </w:rPr>
          <w:t xml:space="preserve">arXiv:2512.11891</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[9] H. Zhang, W.-H. Huang, Q. Tong, G. Solak, P. Liu, K. Zhang, S. Liu, J. Peters, Y. She, and A. Ajoudani. CompliantVLA-adaptor: VLM-guided variable impedance action for safe contact-rich manipulation. arXiv preprint, 2026.</w:t>
      </w:r>
      <w:r>
        <w:rPr>
          <w:rFonts w:ascii="Times New Roman" w:hAnsi="Times New Roman" w:eastAsia="宋体"/>
          <w:color w:val="000000"/>
          <w:sz w:val="21"/>
        </w:rPr>
        <w:t xml:space="preserve"> </w:t>
      </w:r>
      <w:hyperlink r:id="rId59">
        <w:r>
          <w:rPr>
            <w:rStyle w:val="Hyperlink"/>
          </w:rPr>
          <w:t xml:space="preserve">arXiv:2601.15541</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[10] J. Yu, H. Liu, Q. Yu, J. Ren, C. Hao, H. Ding, G. Huang, G. Huang, Y. Song, P. Cai, C. Lu, and W. Zhang. ForceVLA: Enhancing VLA models with a force-aware MoE for contact-rich manipulation. arXiv preprint, 2025.</w:t>
      </w:r>
      <w:r>
        <w:rPr>
          <w:rFonts w:ascii="Times New Roman" w:hAnsi="Times New Roman" w:eastAsia="宋体"/>
          <w:color w:val="000000"/>
          <w:sz w:val="21"/>
        </w:rPr>
        <w:t xml:space="preserve"> </w:t>
      </w:r>
      <w:hyperlink r:id="rId60">
        <w:r>
          <w:rPr>
            <w:rStyle w:val="Hyperlink"/>
          </w:rPr>
          <w:t xml:space="preserve">arXiv:2505.22159</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[11] Z. Zhang, H. Xu, Z. Yang, C. Yue, Z. Lin, H.-a. Gao, Z. Wang, and H. Zhao. TA-VLA: Elucidating the design space of torque-aware vision-language-action models. arXiv preprint, 2025.</w:t>
      </w:r>
      <w:r>
        <w:rPr>
          <w:rFonts w:ascii="Times New Roman" w:hAnsi="Times New Roman" w:eastAsia="宋体"/>
          <w:color w:val="000000"/>
          <w:sz w:val="21"/>
        </w:rPr>
        <w:t xml:space="preserve"> </w:t>
      </w:r>
      <w:hyperlink r:id="rId61">
        <w:r>
          <w:rPr>
            <w:rStyle w:val="Hyperlink"/>
          </w:rPr>
          <w:t xml:space="preserve">arXiv:2509.07962</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[12] R. Zhao, W. Wang, Y. Ma, X. Li, F. E. H. Tay, M. H. Ang, and H. Zhu. FD-VLA: Force-distilled vision-language-action model for contact-rich manipulation. arXiv preprint, 2026.</w:t>
      </w:r>
      <w:r>
        <w:rPr>
          <w:rFonts w:ascii="Times New Roman" w:hAnsi="Times New Roman" w:eastAsia="宋体"/>
          <w:color w:val="000000"/>
          <w:sz w:val="21"/>
        </w:rPr>
        <w:t xml:space="preserve"> </w:t>
      </w:r>
      <w:hyperlink r:id="rId62">
        <w:r>
          <w:rPr>
            <w:rStyle w:val="Hyperlink"/>
          </w:rPr>
          <w:t xml:space="preserve">arXiv:2602.02142</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[13] Physical Intelligence, K. Black, N. Brown, J. Darpinian, K. Dhabalia, D. Driess, et al. π0.5: A vision-language-action model with open-world generalization. arXiv preprint, 2025.</w:t>
      </w:r>
      <w:r>
        <w:rPr>
          <w:rFonts w:ascii="Times New Roman" w:hAnsi="Times New Roman" w:eastAsia="宋体"/>
          <w:color w:val="000000"/>
          <w:sz w:val="21"/>
        </w:rPr>
        <w:t xml:space="preserve"> </w:t>
      </w:r>
      <w:hyperlink r:id="rId63">
        <w:r>
          <w:rPr>
            <w:rStyle w:val="Hyperlink"/>
          </w:rPr>
          <w:t xml:space="preserve">arXiv:2504.16054</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[14] O. Khatib. Real-time obstacle avoidance for manipulators and mobile robots. International Journal of Robotics Research, 5(1):90-98, 1986.</w:t>
      </w:r>
    </w:p>
    <w:p>
      <w:pPr>
        <w:pStyle w:val="BodyText"/>
        <w:spacing w:after="60"/>
        <w:ind w:left="420" w:hanging="420"/>
        <w:jc w:val="both"/>
      </w:pPr>
      <w:r>
        <w:rPr>
          <w:rFonts w:ascii="Times New Roman" w:hAnsi="Times New Roman" w:eastAsia="宋体"/>
          <w:color w:val="000000"/>
          <w:sz w:val="21"/>
        </w:rPr>
        <w:t xml:space="preserve">[15] Q. Li, B. Yin, W. Huang, R. Liu, B. Zou, R. Yu, J. Ye, W. Yu, and X. Wang. Vision-language-action safety: Threats, challenges, evaluations, and mechanisms. arXiv preprint, 2026.</w:t>
      </w:r>
      <w:r>
        <w:rPr>
          <w:rFonts w:ascii="Times New Roman" w:hAnsi="Times New Roman" w:eastAsia="宋体"/>
          <w:color w:val="000000"/>
          <w:sz w:val="21"/>
        </w:rPr>
        <w:t xml:space="preserve"> </w:t>
      </w:r>
      <w:hyperlink r:id="rId64">
        <w:r>
          <w:rPr>
            <w:rStyle w:val="Hyperlink"/>
          </w:rPr>
          <w:t xml:space="preserve">arXiv:2604.23775</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[16] M. J. Kim, K. Pertsch, S. Karamcheti, T. Xiao, A. Balakrishna, S. Nair, et al. OpenVLA: An open-source vision-language-action model. In Proceedings of the 8th Conference on Robot Learning, PMLR 270:2679-2713, 2025.</w:t>
      </w:r>
      <w:r>
        <w:rPr>
          <w:rFonts w:ascii="Times New Roman" w:hAnsi="Times New Roman" w:eastAsia="宋体"/>
          <w:color w:val="000000"/>
          <w:sz w:val="21"/>
        </w:rPr>
        <w:t xml:space="preserve"> </w:t>
      </w:r>
      <w:hyperlink r:id="rId65">
        <w:r>
          <w:rPr>
            <w:rStyle w:val="Hyperlink"/>
          </w:rPr>
          <w:t xml:space="preserve">论文集</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[17] Y. Koren and J. Borenstein. Potential field methods and their inherent limitations for mobile robot navigation. In IEEE International Conference on Robotics and Automation, pages 1398-1404, 1991.</w:t>
      </w:r>
    </w:p>
    <w:p>
      <w:pPr>
        <w:pStyle w:val="BodyText"/>
        <w:spacing w:after="60"/>
        <w:ind w:left="420" w:hanging="420"/>
        <w:jc w:val="both"/>
      </w:pPr>
      <w:r>
        <w:rPr>
          <w:rFonts w:ascii="Times New Roman" w:hAnsi="Times New Roman" w:eastAsia="宋体"/>
          <w:color w:val="000000"/>
          <w:sz w:val="21"/>
        </w:rPr>
        <w:t xml:space="preserve">[18] D. Ghosh, H. R. Walke, K. Pertsch, K. Black, O. Mees, S. Dasari, et al. Octo: An open-source generalist robot policy. In Robotics: Science and Systems XX, 2024.</w:t>
      </w:r>
      <w:r>
        <w:rPr>
          <w:rFonts w:ascii="Times New Roman" w:hAnsi="Times New Roman" w:eastAsia="宋体"/>
          <w:color w:val="000000"/>
          <w:sz w:val="21"/>
        </w:rPr>
        <w:t xml:space="preserve"> </w:t>
      </w:r>
      <w:hyperlink r:id="rId66">
        <w:r>
          <w:rPr>
            <w:rStyle w:val="Hyperlink"/>
          </w:rPr>
          <w:t xml:space="preserve">论文集</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[19] Y. Song, L. Le, Y.-H. Park, J. Wang, J. Shi, L. Liu, J. Gu, E. Eaton, D. Jayaraman, and K. Daniilidis. OmniGuide: Universal guidance fields for enhancing generalist robot policies. arXiv preprint, 2026.</w:t>
      </w:r>
      <w:r>
        <w:rPr>
          <w:rFonts w:ascii="Times New Roman" w:hAnsi="Times New Roman" w:eastAsia="宋体"/>
          <w:color w:val="000000"/>
          <w:sz w:val="21"/>
        </w:rPr>
        <w:t xml:space="preserve"> </w:t>
      </w:r>
      <w:hyperlink r:id="rId67">
        <w:r>
          <w:rPr>
            <w:rStyle w:val="Hyperlink"/>
          </w:rPr>
          <w:t xml:space="preserve">arXiv:2603.10052</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[20] E. Todorov, T. Erez, and Y. Tassa. MuJoCo: A physics engine for model-based control. In IEEE/RSJ International Conference on Intelligent Robots and Systems, pages 5026-5033, 2012.</w:t>
      </w:r>
    </w:p>
    <w:p>
      <w:pPr>
        <w:pStyle w:val="BodyText"/>
        <w:spacing w:after="60"/>
        <w:ind w:left="420" w:hanging="420"/>
        <w:jc w:val="both"/>
      </w:pPr>
      <w:r>
        <w:rPr>
          <w:rFonts w:ascii="Times New Roman" w:hAnsi="Times New Roman" w:eastAsia="宋体"/>
          <w:color w:val="000000"/>
          <w:sz w:val="21"/>
        </w:rPr>
        <w:t xml:space="preserve">[21] B. Zhang, Y. Zhang, J. Ji, Y. Lei, J. Dai, Y. Chen, and Y. Yang. SafeVLA: Towards safety alignment of vision-language-action model via constrained learning. arXiv preprint, 2025.</w:t>
      </w:r>
      <w:r>
        <w:rPr>
          <w:rFonts w:ascii="Times New Roman" w:hAnsi="Times New Roman" w:eastAsia="宋体"/>
          <w:color w:val="000000"/>
          <w:sz w:val="21"/>
        </w:rPr>
        <w:t xml:space="preserve"> </w:t>
      </w:r>
      <w:hyperlink r:id="rId68">
        <w:r>
          <w:rPr>
            <w:rStyle w:val="Hyperlink"/>
          </w:rPr>
          <w:t xml:space="preserve">arXiv:2503.03480</w:t>
        </w:r>
      </w:hyperlink>
      <w:r>
        <w:rPr>
          <w:rFonts w:ascii="Times New Roman" w:hAnsi="Times New Roman" w:eastAsia="宋体"/>
          <w:color w:val="000000"/>
          <w:sz w:val="21"/>
        </w:rPr>
        <w:t xml:space="preserve">.</w:t>
      </w:r>
    </w:p>
    <w:bookmarkEnd w:id="69"/>
    <w:sectPr>
      <w:footerReference w:type="default" r:id="rId9"/>
      <w:pgSz w:w="11906" w:h="16838"/>
      <w:pgMar w:top="1247" w:bottom="1247" w:left="1417" w:right="1417" w:header="680"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0"/>
    </w:pPr>
    <w:rPr>
      <w:rFonts w:ascii="Times New Roman" w:hAnsi="Times New Roman" w:eastAsia="宋体"/>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00"/>
      <w:outlineLvl w:val="0"/>
    </w:pPr>
    <w:rPr>
      <w:rFonts w:asciiTheme="majorHAnsi" w:cstheme="majorBidi" w:eastAsiaTheme="majorEastAsia" w:hAnsiTheme="majorHAnsi" w:ascii="Times New Roman" w:hAnsi="Times New Roman" w:eastAsia="黑体"/>
      <w:b/>
      <w:bCs/>
      <w:color w:val="000000"/>
      <w:sz w:val="26"/>
      <w:szCs w:val="32"/>
    </w:rPr>
  </w:style>
  <w:style w:styleId="Heading2" w:type="paragraph">
    <w:name w:val="Heading 2"/>
    <w:basedOn w:val="Normal"/>
    <w:next w:val="BodyText"/>
    <w:uiPriority w:val="9"/>
    <w:unhideWhenUsed/>
    <w:qFormat/>
    <w:pPr>
      <w:keepNext/>
      <w:keepLines/>
      <w:spacing w:after="100" w:before="200"/>
      <w:outlineLvl w:val="1"/>
    </w:pPr>
    <w:rPr>
      <w:rFonts w:asciiTheme="majorHAnsi" w:cstheme="majorBidi" w:eastAsiaTheme="majorEastAsia" w:hAnsiTheme="majorHAnsi" w:ascii="Times New Roman" w:hAnsi="Times New Roman" w:eastAsia="黑体"/>
      <w:b/>
      <w:bCs/>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30" Type="http://schemas.openxmlformats.org/officeDocument/2006/relationships/image" Target="media/rId30.png"/><Relationship Id="rId35" Type="http://schemas.openxmlformats.org/officeDocument/2006/relationships/image" Target="media/rId35.png"/><Relationship Id="rId43" Type="http://schemas.openxmlformats.org/officeDocument/2006/relationships/image" Target="media/rId43.png"/><Relationship Id="rId47" Type="http://schemas.openxmlformats.org/officeDocument/2006/relationships/image" Target="media/rId47.png"/><Relationship Id="rId55" Type="http://schemas.openxmlformats.org/officeDocument/2006/relationships/hyperlink" Target="https://arxiv.org/abs/2410.24164" TargetMode="External"/><Relationship Id="rId68" Type="http://schemas.openxmlformats.org/officeDocument/2006/relationships/hyperlink" Target="https://arxiv.org/abs/2503.03480" TargetMode="External"/><Relationship Id="rId63" Type="http://schemas.openxmlformats.org/officeDocument/2006/relationships/hyperlink" Target="https://arxiv.org/abs/2504.16054" TargetMode="External"/><Relationship Id="rId60" Type="http://schemas.openxmlformats.org/officeDocument/2006/relationships/hyperlink" Target="https://arxiv.org/abs/2505.22159" TargetMode="External"/><Relationship Id="rId61" Type="http://schemas.openxmlformats.org/officeDocument/2006/relationships/hyperlink" Target="https://arxiv.org/abs/2509.07962" TargetMode="External"/><Relationship Id="rId58" Type="http://schemas.openxmlformats.org/officeDocument/2006/relationships/hyperlink" Target="https://arxiv.org/abs/2512.11891" TargetMode="External"/><Relationship Id="rId59" Type="http://schemas.openxmlformats.org/officeDocument/2006/relationships/hyperlink" Target="https://arxiv.org/abs/2601.15541" TargetMode="External"/><Relationship Id="rId62" Type="http://schemas.openxmlformats.org/officeDocument/2006/relationships/hyperlink" Target="https://arxiv.org/abs/2602.02142" TargetMode="External"/><Relationship Id="rId67" Type="http://schemas.openxmlformats.org/officeDocument/2006/relationships/hyperlink" Target="https://arxiv.org/abs/2603.10052" TargetMode="External"/><Relationship Id="rId64" Type="http://schemas.openxmlformats.org/officeDocument/2006/relationships/hyperlink" Target="https://arxiv.org/abs/2604.23775" TargetMode="External"/><Relationship Id="rId57" Type="http://schemas.openxmlformats.org/officeDocument/2006/relationships/hyperlink" Target="https://doi.org/10.1109/TRO.2022.3232542" TargetMode="External"/><Relationship Id="rId56" Type="http://schemas.openxmlformats.org/officeDocument/2006/relationships/hyperlink" Target="https://proceedings.mlr.press/v229/zitkovich23a.html" TargetMode="External"/><Relationship Id="rId65" Type="http://schemas.openxmlformats.org/officeDocument/2006/relationships/hyperlink" Target="https://proceedings.mlr.press/v270/kim25c.html" TargetMode="External"/><Relationship Id="rId66" Type="http://schemas.openxmlformats.org/officeDocument/2006/relationships/hyperlink" Target="https://www.roboticsproceedings.org/rss20/p090.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5" Type="http://schemas.openxmlformats.org/officeDocument/2006/relationships/hyperlink" Target="https://arxiv.org/abs/2410.24164" TargetMode="External"/><Relationship Id="rId68" Type="http://schemas.openxmlformats.org/officeDocument/2006/relationships/hyperlink" Target="https://arxiv.org/abs/2503.03480" TargetMode="External"/><Relationship Id="rId63" Type="http://schemas.openxmlformats.org/officeDocument/2006/relationships/hyperlink" Target="https://arxiv.org/abs/2504.16054" TargetMode="External"/><Relationship Id="rId60" Type="http://schemas.openxmlformats.org/officeDocument/2006/relationships/hyperlink" Target="https://arxiv.org/abs/2505.22159" TargetMode="External"/><Relationship Id="rId61" Type="http://schemas.openxmlformats.org/officeDocument/2006/relationships/hyperlink" Target="https://arxiv.org/abs/2509.07962" TargetMode="External"/><Relationship Id="rId58" Type="http://schemas.openxmlformats.org/officeDocument/2006/relationships/hyperlink" Target="https://arxiv.org/abs/2512.11891" TargetMode="External"/><Relationship Id="rId59" Type="http://schemas.openxmlformats.org/officeDocument/2006/relationships/hyperlink" Target="https://arxiv.org/abs/2601.15541" TargetMode="External"/><Relationship Id="rId62" Type="http://schemas.openxmlformats.org/officeDocument/2006/relationships/hyperlink" Target="https://arxiv.org/abs/2602.02142" TargetMode="External"/><Relationship Id="rId67" Type="http://schemas.openxmlformats.org/officeDocument/2006/relationships/hyperlink" Target="https://arxiv.org/abs/2603.10052" TargetMode="External"/><Relationship Id="rId64" Type="http://schemas.openxmlformats.org/officeDocument/2006/relationships/hyperlink" Target="https://arxiv.org/abs/2604.23775" TargetMode="External"/><Relationship Id="rId57" Type="http://schemas.openxmlformats.org/officeDocument/2006/relationships/hyperlink" Target="https://doi.org/10.1109/TRO.2022.3232542" TargetMode="External"/><Relationship Id="rId56" Type="http://schemas.openxmlformats.org/officeDocument/2006/relationships/hyperlink" Target="https://proceedings.mlr.press/v229/zitkovich23a.html" TargetMode="External"/><Relationship Id="rId65" Type="http://schemas.openxmlformats.org/officeDocument/2006/relationships/hyperlink" Target="https://proceedings.mlr.press/v270/kim25c.html" TargetMode="External"/><Relationship Id="rId66" Type="http://schemas.openxmlformats.org/officeDocument/2006/relationships/hyperlink" Target="https://www.roboticsproceedings.org/rss20/p09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2026-09-14T06:55:25Z</dcterms:created>
  <dcterms:modified xsi:type="dcterms:W3CDTF">2026-09-14T06:55:25Z</dcterms:modified>
</cp:coreProperties>
</file>

<file path=docProps/custom.xml><?xml version="1.0" encoding="utf-8"?>
<Properties xmlns="http://schemas.openxmlformats.org/officeDocument/2006/custom-properties" xmlns:vt="http://schemas.openxmlformats.org/officeDocument/2006/docPropsVTypes"/>
</file>