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Times New Roman" w:eastAsia="宋体" w:hAnsi="Times New Roman"/>
          <w:b w:val="false"/>
          <w:bCs w:val="false"/>
          <w:color w:val="5F6F80"/>
          <w:sz w:val="21"/>
          <w:szCs w:val="21"/>
        </w:rPr>
        <w:t xml:space="preserve">本草知问 · 处方检查</w:t>
      </w:r>
    </w:p>
    <w:p>
      <w:pPr>
        <w:spacing w:after="120" w:before="300"/>
        <w:jc w:val="center"/>
      </w:pPr>
      <w:r>
        <w:rPr>
          <w:rFonts w:ascii="Arial" w:eastAsia="黑体" w:hAnsi="Arial"/>
          <w:b/>
          <w:bCs/>
          <w:color w:val="1F3A5F"/>
          <w:sz w:val="52"/>
          <w:szCs w:val="52"/>
        </w:rPr>
        <w:t xml:space="preserve">中药饮片处方审核样例</w:t>
      </w:r>
    </w:p>
    <w:p>
      <w:pPr>
        <w:spacing w:after="120" w:before="0"/>
        <w:jc w:val="center"/>
      </w:pPr>
      <w:r>
        <w:rPr>
          <w:rFonts w:ascii="Times New Roman" w:eastAsia="宋体" w:hAnsi="Times New Roman"/>
          <w:b w:val="false"/>
          <w:bCs w:val="false"/>
          <w:color w:val="2E5C8A"/>
          <w:sz w:val="25"/>
          <w:szCs w:val="25"/>
        </w:rPr>
        <w:t xml:space="preserve">不通过 · 脱敏演示</w:t>
      </w:r>
    </w:p>
    <w:p>
      <w:pPr>
        <w:spacing w:after="260" w:before="0"/>
        <w:jc w:val="center"/>
      </w:pPr>
      <w:r>
        <w:rPr>
          <w:rFonts w:ascii="Arial" w:eastAsia="黑体" w:hAnsi="Arial"/>
          <w:b/>
          <w:bCs/>
          <w:color w:val="9B2C2C"/>
          <w:sz w:val="24"/>
          <w:szCs w:val="24"/>
        </w:rPr>
        <w:t xml:space="preserve">审核结论：不通过</w:t>
      </w:r>
    </w:p>
    <w:p>
      <w:pPr>
        <w:pBdr>
          <w:bottom w:val="single" w:color="2E5C8A" w:sz="12" w:space="1"/>
        </w:pBdr>
        <w:spacing w:after="260" w:before="0" w:line="20"/>
      </w:pPr>
    </w:p>
    <w:p>
      <w:pPr>
        <w:spacing w:after="500" w:before="0"/>
        <w:jc w:val="center"/>
      </w:pPr>
      <w:r>
        <w:rPr>
          <w:rFonts w:ascii="Times New Roman" w:eastAsia="宋体" w:hAnsi="Times New Roman"/>
          <w:b w:val="false"/>
          <w:bCs w:val="false"/>
          <w:color w:val="5F6F80"/>
          <w:sz w:val="19"/>
          <w:szCs w:val="19"/>
        </w:rPr>
        <w:t xml:space="preserve">样例编号 DEMO-RX-2026-002　|　2026-10-28　|　虚构演示数据</w:t>
      </w:r>
    </w:p>
    <w:tbl>
      <w:tblPr>
        <w:tblW w:type="dxa" w:w="8500"/>
        <w:jc w:val="center"/>
        <w:tblBorders>
          <w:top w:val="none" w:color="auto" w:sz="0"/>
          <w:left w:val="single" w:color="2E5C8A" w:sz="24"/>
          <w:bottom w:val="none" w:color="auto" w:sz="0"/>
          <w:right w:val="none" w:color="auto" w:sz="0"/>
          <w:insideH w:val="none" w:color="auto" w:sz="0"/>
          <w:insideV w:val="none" w:color="auto" w:sz="0"/>
        </w:tblBorders>
        <w:tblLayout w:type="fixed"/>
        <w:tblCellMar>
          <w:top w:type="dxa" w:w="160"/>
          <w:left w:type="dxa" w:w="220"/>
          <w:bottom w:type="dxa" w:w="160"/>
          <w:right w:type="dxa" w:w="220"/>
        </w:tblCellMar>
      </w:tblPr>
      <w:tblGrid>
        <w:gridCol w:w="8500"/>
      </w:tblGrid>
      <w:tr>
        <w:trPr>
          <w:cantSplit/>
        </w:trPr>
        <w:tc>
          <w:tcPr>
            <w:tcW w:type="dxa" w:w="8500"/>
            <w:shd w:fill="EAF2FB" w:color="auto" w:val="clear"/>
          </w:tcPr>
          <w:p>
            <w:pPr>
              <w:spacing w:after="120" w:before="0"/>
            </w:pPr>
            <w:r>
              <w:rPr>
                <w:rFonts w:ascii="Arial" w:eastAsia="黑体" w:hAnsi="Arial"/>
                <w:b/>
                <w:bCs/>
                <w:color w:val="1F3A5F"/>
                <w:sz w:val="22"/>
                <w:szCs w:val="22"/>
              </w:rPr>
              <w:t xml:space="preserve">使用前请阅读</w:t>
            </w:r>
          </w:p>
          <w:p>
            <w:pPr>
              <w:pStyle w:val="ListParagraph"/>
              <w:numPr>
                <w:ilvl w:val="0"/>
                <w:numId w:val="2"/>
              </w:numPr>
              <w:spacing w:after="60" w:before="0" w:line="260"/>
            </w:pPr>
            <w:r>
              <w:rPr>
                <w:rFonts w:ascii="Times New Roman" w:eastAsia="宋体" w:hAnsi="Times New Roman"/>
                <w:b w:val="false"/>
                <w:bCs w:val="false"/>
                <w:color w:val="2B3A4A"/>
                <w:sz w:val="19"/>
                <w:szCs w:val="19"/>
              </w:rPr>
              <w:t xml:space="preserve">本样例为虚构演示数据，患者、医师、药师及门诊号均为化名，不含真实个人健康信息。</w:t>
            </w:r>
          </w:p>
          <w:p>
            <w:pPr>
              <w:pStyle w:val="ListParagraph"/>
              <w:numPr>
                <w:ilvl w:val="0"/>
                <w:numId w:val="2"/>
              </w:numPr>
              <w:spacing w:after="60" w:before="0" w:line="260"/>
            </w:pPr>
            <w:r>
              <w:rPr>
                <w:rFonts w:ascii="Times New Roman" w:eastAsia="宋体" w:hAnsi="Times New Roman"/>
                <w:b w:val="false"/>
                <w:bCs w:val="false"/>
                <w:color w:val="2B3A4A"/>
                <w:sz w:val="19"/>
                <w:szCs w:val="19"/>
              </w:rPr>
              <w:t xml:space="preserve">仅用于处方审核流程演示、教学或系统测试，不是真实处方。</w:t>
            </w:r>
          </w:p>
          <w:p>
            <w:pPr>
              <w:pStyle w:val="ListParagraph"/>
              <w:numPr>
                <w:ilvl w:val="0"/>
                <w:numId w:val="2"/>
              </w:numPr>
              <w:spacing w:after="60" w:before="0" w:line="260"/>
            </w:pPr>
            <w:r>
              <w:rPr>
                <w:rFonts w:ascii="Times New Roman" w:eastAsia="宋体" w:hAnsi="Times New Roman"/>
                <w:b w:val="false"/>
                <w:bCs w:val="false"/>
                <w:color w:val="2B3A4A"/>
                <w:sz w:val="19"/>
                <w:szCs w:val="19"/>
              </w:rPr>
              <w:t xml:space="preserve">不得据此调配或服用；实际审核由执业药师依据法规、药典和患者情况完成。</w:t>
            </w:r>
          </w:p>
        </w:tc>
      </w:tr>
    </w:tbl>
    <w:p>
      <w:pPr>
        <w:spacing w:after="0" w:before="480"/>
        <w:jc w:val="center"/>
      </w:pPr>
      <w:r>
        <w:rPr>
          <w:rFonts w:ascii="Times New Roman" w:eastAsia="宋体" w:hAnsi="Times New Roman"/>
          <w:b w:val="false"/>
          <w:bCs w:val="false"/>
          <w:color w:val="7A8FA6"/>
          <w:sz w:val="18"/>
          <w:szCs w:val="18"/>
        </w:rPr>
        <w:t xml:space="preserve">脱敏演示样例 · 不构成诊疗建议</w:t>
      </w:r>
    </w:p>
    <w:p>
      <w:r>
        <w:br w:type="page"/>
      </w:r>
    </w:p>
    <w:p>
      <w:pPr>
        <w:pBdr>
          <w:bottom w:val="single" w:color="B7CCE3" w:sz="8" w:space="4"/>
        </w:pBdr>
        <w:spacing w:after="200" w:before="160"/>
      </w:pPr>
      <w:r>
        <w:rPr>
          <w:rFonts w:ascii="Arial" w:eastAsia="黑体" w:hAnsi="Arial"/>
          <w:b/>
          <w:bCs/>
          <w:color w:val="1F3A5F"/>
          <w:sz w:val="40"/>
          <w:szCs w:val="40"/>
        </w:rPr>
        <w:t xml:space="preserve">目录</w:t>
      </w:r>
    </w:p>
    <w:sdt>
      <w:sdtPr>
        <w:alias w:val="目录"/>
      </w:sdtPr>
      <w:sdtContent>
        <w:p>
          <w:pPr>
            <w:pStyle w:val="TOC1"/>
            <w:tabs>
              <w:tab w:val="right" w:pos="9184" w:leader="dot"/>
            </w:tabs>
          </w:pPr>
          <w:r>
            <w:fldChar w:fldCharType="begin" w:dirty="true"/>
            <w:instrText xml:space="preserve">TOC \h \o "1-2"</w:instrText>
            <w:fldChar w:fldCharType="separate"/>
          </w:r>
          <w:hyperlink w:history="1" w:anchor="_Toc1">
            <w:r>
              <w:t xml:space="preserve">一、病例摘要</w:t>
            </w:r>
            <w:r>
              <w:tab/>
            </w:r>
            <w:r>
              <w:fldChar w:fldCharType="begin" w:dirty="true"/>
              <w:instrText xml:space="preserve">PAGEREF _Toc1 \h</w:instrText>
              <w:fldChar w:fldCharType="separate"/>
              <w:fldChar w:fldCharType="end"/>
            </w:r>
          </w:hyperlink>
        </w:p>
        <w:p>
          <w:pPr>
            <w:pStyle w:val="TOC2"/>
            <w:tabs>
              <w:tab w:val="right" w:pos="9184" w:leader="dot"/>
            </w:tabs>
          </w:pPr>
          <w:hyperlink w:history="1" w:anchor="_Toc2">
            <w:r>
              <w:t xml:space="preserve">1.1 基本信息</w:t>
            </w:r>
            <w:r>
              <w:tab/>
            </w:r>
            <w:r>
              <w:fldChar w:fldCharType="begin" w:dirty="true"/>
              <w:instrText xml:space="preserve">PAGEREF _Toc2 \h</w:instrText>
              <w:fldChar w:fldCharType="separate"/>
              <w:fldChar w:fldCharType="end"/>
            </w:r>
          </w:hyperlink>
        </w:p>
        <w:p>
          <w:pPr>
            <w:pStyle w:val="TOC2"/>
            <w:tabs>
              <w:tab w:val="right" w:pos="9184" w:leader="dot"/>
            </w:tabs>
          </w:pPr>
          <w:hyperlink w:history="1" w:anchor="_Toc3">
            <w:r>
              <w:t xml:space="preserve">1.2 主诉与现病史</w:t>
            </w:r>
            <w:r>
              <w:tab/>
            </w:r>
            <w:r>
              <w:fldChar w:fldCharType="begin" w:dirty="true"/>
              <w:instrText xml:space="preserve">PAGEREF _Toc3 \h</w:instrText>
              <w:fldChar w:fldCharType="separate"/>
              <w:fldChar w:fldCharType="end"/>
            </w:r>
          </w:hyperlink>
        </w:p>
        <w:p>
          <w:pPr>
            <w:pStyle w:val="TOC2"/>
            <w:tabs>
              <w:tab w:val="right" w:pos="9184" w:leader="dot"/>
            </w:tabs>
          </w:pPr>
          <w:hyperlink w:history="1" w:anchor="_Toc4">
            <w:r>
              <w:t xml:space="preserve">1.3 处方思路</w:t>
            </w:r>
            <w:r>
              <w:tab/>
            </w:r>
            <w:r>
              <w:fldChar w:fldCharType="begin" w:dirty="true"/>
              <w:instrText xml:space="preserve">PAGEREF _Toc4 \h</w:instrText>
              <w:fldChar w:fldCharType="separate"/>
              <w:fldChar w:fldCharType="end"/>
            </w:r>
          </w:hyperlink>
        </w:p>
        <w:p>
          <w:pPr>
            <w:pStyle w:val="TOC1"/>
            <w:tabs>
              <w:tab w:val="right" w:pos="9184" w:leader="dot"/>
            </w:tabs>
          </w:pPr>
          <w:hyperlink w:history="1" w:anchor="_Toc5">
            <w:r>
              <w:t xml:space="preserve">二、处方内容（送审原方）</w:t>
            </w:r>
            <w:r>
              <w:tab/>
            </w:r>
            <w:r>
              <w:fldChar w:fldCharType="begin" w:dirty="true"/>
              <w:instrText xml:space="preserve">PAGEREF _Toc5 \h</w:instrText>
              <w:fldChar w:fldCharType="separate"/>
              <w:fldChar w:fldCharType="end"/>
            </w:r>
          </w:hyperlink>
        </w:p>
        <w:p>
          <w:pPr>
            <w:pStyle w:val="TOC2"/>
            <w:tabs>
              <w:tab w:val="right" w:pos="9184" w:leader="dot"/>
            </w:tabs>
          </w:pPr>
          <w:hyperlink w:history="1" w:anchor="_Toc6">
            <w:r>
              <w:t xml:space="preserve">2.1 处方明细</w:t>
            </w:r>
            <w:r>
              <w:tab/>
            </w:r>
            <w:r>
              <w:fldChar w:fldCharType="begin" w:dirty="true"/>
              <w:instrText xml:space="preserve">PAGEREF _Toc6 \h</w:instrText>
              <w:fldChar w:fldCharType="separate"/>
              <w:fldChar w:fldCharType="end"/>
            </w:r>
          </w:hyperlink>
        </w:p>
        <w:p>
          <w:pPr>
            <w:pStyle w:val="TOC2"/>
            <w:tabs>
              <w:tab w:val="right" w:pos="9184" w:leader="dot"/>
            </w:tabs>
          </w:pPr>
          <w:hyperlink w:history="1" w:anchor="_Toc7">
            <w:r>
              <w:t xml:space="preserve">2.2 用法用量</w:t>
            </w:r>
            <w:r>
              <w:tab/>
            </w:r>
            <w:r>
              <w:fldChar w:fldCharType="begin" w:dirty="true"/>
              <w:instrText xml:space="preserve">PAGEREF _Toc7 \h</w:instrText>
              <w:fldChar w:fldCharType="separate"/>
              <w:fldChar w:fldCharType="end"/>
            </w:r>
          </w:hyperlink>
        </w:p>
        <w:p>
          <w:pPr>
            <w:pStyle w:val="TOC1"/>
            <w:tabs>
              <w:tab w:val="right" w:pos="9184" w:leader="dot"/>
            </w:tabs>
          </w:pPr>
          <w:hyperlink w:history="1" w:anchor="_Toc8">
            <w:r>
              <w:t xml:space="preserve">三、药师审核</w:t>
            </w:r>
            <w:r>
              <w:tab/>
            </w:r>
            <w:r>
              <w:fldChar w:fldCharType="begin" w:dirty="true"/>
              <w:instrText xml:space="preserve">PAGEREF _Toc8 \h</w:instrText>
              <w:fldChar w:fldCharType="separate"/>
              <w:fldChar w:fldCharType="end"/>
            </w:r>
          </w:hyperlink>
        </w:p>
        <w:p>
          <w:pPr>
            <w:pStyle w:val="TOC2"/>
            <w:tabs>
              <w:tab w:val="right" w:pos="9184" w:leader="dot"/>
            </w:tabs>
          </w:pPr>
          <w:hyperlink w:history="1" w:anchor="_Toc9">
            <w:r>
              <w:t xml:space="preserve">3.1 审核结论</w:t>
            </w:r>
            <w:r>
              <w:tab/>
            </w:r>
            <w:r>
              <w:fldChar w:fldCharType="begin" w:dirty="true"/>
              <w:instrText xml:space="preserve">PAGEREF _Toc9 \h</w:instrText>
              <w:fldChar w:fldCharType="separate"/>
              <w:fldChar w:fldCharType="end"/>
            </w:r>
          </w:hyperlink>
        </w:p>
        <w:p>
          <w:pPr>
            <w:pStyle w:val="TOC2"/>
            <w:tabs>
              <w:tab w:val="right" w:pos="9184" w:leader="dot"/>
            </w:tabs>
          </w:pPr>
          <w:hyperlink w:history="1" w:anchor="_Toc10">
            <w:r>
              <w:t xml:space="preserve">3.2 审核清单</w:t>
            </w:r>
            <w:r>
              <w:tab/>
            </w:r>
            <w:r>
              <w:fldChar w:fldCharType="begin" w:dirty="true"/>
              <w:instrText xml:space="preserve">PAGEREF _Toc10 \h</w:instrText>
              <w:fldChar w:fldCharType="separate"/>
              <w:fldChar w:fldCharType="end"/>
            </w:r>
          </w:hyperlink>
        </w:p>
        <w:p>
          <w:pPr>
            <w:pStyle w:val="TOC2"/>
            <w:tabs>
              <w:tab w:val="right" w:pos="9184" w:leader="dot"/>
            </w:tabs>
          </w:pPr>
          <w:hyperlink w:history="1" w:anchor="_Toc11">
            <w:r>
              <w:t xml:space="preserve">3.3 问题一：十九畏“人参畏五灵脂”</w:t>
            </w:r>
            <w:r>
              <w:tab/>
            </w:r>
            <w:r>
              <w:fldChar w:fldCharType="begin" w:dirty="true"/>
              <w:instrText xml:space="preserve">PAGEREF _Toc11 \h</w:instrText>
              <w:fldChar w:fldCharType="separate"/>
              <w:fldChar w:fldCharType="end"/>
            </w:r>
          </w:hyperlink>
        </w:p>
        <w:p>
          <w:pPr>
            <w:pStyle w:val="TOC2"/>
            <w:tabs>
              <w:tab w:val="right" w:pos="9184" w:leader="dot"/>
            </w:tabs>
          </w:pPr>
          <w:hyperlink w:history="1" w:anchor="_Toc12">
            <w:r>
              <w:t xml:space="preserve">3.4 问题二：吴茱萸超量</w:t>
            </w:r>
            <w:r>
              <w:tab/>
            </w:r>
            <w:r>
              <w:fldChar w:fldCharType="begin" w:dirty="true"/>
              <w:instrText xml:space="preserve">PAGEREF _Toc12 \h</w:instrText>
              <w:fldChar w:fldCharType="separate"/>
              <w:fldChar w:fldCharType="end"/>
            </w:r>
          </w:hyperlink>
        </w:p>
        <w:p>
          <w:pPr>
            <w:pStyle w:val="TOC2"/>
            <w:tabs>
              <w:tab w:val="right" w:pos="9184" w:leader="dot"/>
            </w:tabs>
          </w:pPr>
          <w:hyperlink w:history="1" w:anchor="_Toc13">
            <w:r>
              <w:t xml:space="preserve">3.5 问题三：特殊煎法缺失</w:t>
            </w:r>
            <w:r>
              <w:tab/>
            </w:r>
            <w:r>
              <w:fldChar w:fldCharType="begin" w:dirty="true"/>
              <w:instrText xml:space="preserve">PAGEREF _Toc13 \h</w:instrText>
              <w:fldChar w:fldCharType="separate"/>
              <w:fldChar w:fldCharType="end"/>
            </w:r>
          </w:hyperlink>
        </w:p>
        <w:p>
          <w:pPr>
            <w:pStyle w:val="TOC2"/>
            <w:tabs>
              <w:tab w:val="right" w:pos="9184" w:leader="dot"/>
            </w:tabs>
          </w:pPr>
          <w:hyperlink w:history="1" w:anchor="_Toc14">
            <w:r>
              <w:t xml:space="preserve">3.6 其他核查</w:t>
            </w:r>
            <w:r>
              <w:tab/>
            </w:r>
            <w:r>
              <w:fldChar w:fldCharType="begin" w:dirty="true"/>
              <w:instrText xml:space="preserve">PAGEREF _Toc14 \h</w:instrText>
              <w:fldChar w:fldCharType="separate"/>
              <w:fldChar w:fldCharType="end"/>
            </w:r>
          </w:hyperlink>
        </w:p>
        <w:p>
          <w:pPr>
            <w:pStyle w:val="TOC2"/>
            <w:tabs>
              <w:tab w:val="right" w:pos="9184" w:leader="dot"/>
            </w:tabs>
          </w:pPr>
          <w:hyperlink w:history="1" w:anchor="_Toc15">
            <w:r>
              <w:t xml:space="preserve">3.7 风险分级</w:t>
            </w:r>
            <w:r>
              <w:tab/>
            </w:r>
            <w:r>
              <w:fldChar w:fldCharType="begin" w:dirty="true"/>
              <w:instrText xml:space="preserve">PAGEREF _Toc15 \h</w:instrText>
              <w:fldChar w:fldCharType="separate"/>
              <w:fldChar w:fldCharType="end"/>
            </w:r>
          </w:hyperlink>
        </w:p>
        <w:p>
          <w:pPr>
            <w:pStyle w:val="TOC2"/>
            <w:tabs>
              <w:tab w:val="right" w:pos="9184" w:leader="dot"/>
            </w:tabs>
          </w:pPr>
          <w:hyperlink w:history="1" w:anchor="_Toc16">
            <w:r>
              <w:t xml:space="preserve">3.8 药师建议</w:t>
            </w:r>
            <w:r>
              <w:tab/>
            </w:r>
            <w:r>
              <w:fldChar w:fldCharType="begin" w:dirty="true"/>
              <w:instrText xml:space="preserve">PAGEREF _Toc16 \h</w:instrText>
              <w:fldChar w:fldCharType="separate"/>
              <w:fldChar w:fldCharType="end"/>
            </w:r>
          </w:hyperlink>
        </w:p>
        <w:p>
          <w:pPr>
            <w:pStyle w:val="TOC2"/>
            <w:tabs>
              <w:tab w:val="right" w:pos="9184" w:leader="dot"/>
            </w:tabs>
          </w:pPr>
          <w:hyperlink w:history="1" w:anchor="_Toc17">
            <w:r>
              <w:t xml:space="preserve">3.9 如医师坚持原方的处理原则</w:t>
            </w:r>
            <w:r>
              <w:tab/>
            </w:r>
            <w:r>
              <w:fldChar w:fldCharType="begin" w:dirty="true"/>
              <w:instrText xml:space="preserve">PAGEREF _Toc17 \h</w:instrText>
              <w:fldChar w:fldCharType="separate"/>
              <w:fldChar w:fldCharType="end"/>
            </w:r>
          </w:hyperlink>
        </w:p>
        <w:p>
          <w:pPr>
            <w:pStyle w:val="TOC1"/>
            <w:tabs>
              <w:tab w:val="right" w:pos="9184" w:leader="dot"/>
            </w:tabs>
          </w:pPr>
          <w:hyperlink w:history="1" w:anchor="_Toc18">
            <w:r>
              <w:t xml:space="preserve">四、沟通与处置记录</w:t>
            </w:r>
            <w:r>
              <w:tab/>
            </w:r>
            <w:r>
              <w:fldChar w:fldCharType="begin" w:dirty="true"/>
              <w:instrText xml:space="preserve">PAGEREF _Toc18 \h</w:instrText>
              <w:fldChar w:fldCharType="separate"/>
              <w:fldChar w:fldCharType="end"/>
            </w:r>
          </w:hyperlink>
        </w:p>
        <w:p>
          <w:pPr>
            <w:pStyle w:val="TOC2"/>
            <w:tabs>
              <w:tab w:val="right" w:pos="9184" w:leader="dot"/>
            </w:tabs>
          </w:pPr>
          <w:hyperlink w:history="1" w:anchor="_Toc19">
            <w:r>
              <w:t xml:space="preserve">4.1 时间线（样例）</w:t>
            </w:r>
            <w:r>
              <w:tab/>
            </w:r>
            <w:r>
              <w:fldChar w:fldCharType="begin" w:dirty="true"/>
              <w:instrText xml:space="preserve">PAGEREF _Toc19 \h</w:instrText>
              <w:fldChar w:fldCharType="separate"/>
              <w:fldChar w:fldCharType="end"/>
            </w:r>
          </w:hyperlink>
        </w:p>
        <w:p>
          <w:pPr>
            <w:pStyle w:val="TOC2"/>
            <w:tabs>
              <w:tab w:val="right" w:pos="9184" w:leader="dot"/>
            </w:tabs>
          </w:pPr>
          <w:hyperlink w:history="1" w:anchor="_Toc20">
            <w:r>
              <w:t xml:space="preserve">4.2 最终处置</w:t>
            </w:r>
            <w:r>
              <w:tab/>
            </w:r>
            <w:r>
              <w:fldChar w:fldCharType="begin" w:dirty="true"/>
              <w:instrText xml:space="preserve">PAGEREF _Toc20 \h</w:instrText>
              <w:fldChar w:fldCharType="separate"/>
              <w:fldChar w:fldCharType="end"/>
            </w:r>
          </w:hyperlink>
        </w:p>
        <w:p>
          <w:pPr>
            <w:pStyle w:val="TOC2"/>
            <w:tabs>
              <w:tab w:val="right" w:pos="9184" w:leader="dot"/>
            </w:tabs>
          </w:pPr>
          <w:hyperlink w:history="1" w:anchor="_Toc21">
            <w:r>
              <w:t xml:space="preserve">4.3 审核意见书（样例）</w:t>
            </w:r>
            <w:r>
              <w:tab/>
            </w:r>
            <w:r>
              <w:fldChar w:fldCharType="begin" w:dirty="true"/>
              <w:instrText xml:space="preserve">PAGEREF _Toc21 \h</w:instrText>
              <w:fldChar w:fldCharType="separate"/>
              <w:fldChar w:fldCharType="end"/>
            </w:r>
          </w:hyperlink>
        </w:p>
        <w:p>
          <w:pPr>
            <w:pStyle w:val="TOC1"/>
            <w:tabs>
              <w:tab w:val="right" w:pos="9184" w:leader="dot"/>
            </w:tabs>
          </w:pPr>
          <w:hyperlink w:history="1" w:anchor="_Toc22">
            <w:r>
              <w:t xml:space="preserve">五、复盘与改进</w:t>
            </w:r>
            <w:r>
              <w:tab/>
            </w:r>
            <w:r>
              <w:fldChar w:fldCharType="begin" w:dirty="true"/>
              <w:instrText xml:space="preserve">PAGEREF _Toc22 \h</w:instrText>
              <w:fldChar w:fldCharType="separate"/>
              <w:fldChar w:fldCharType="end"/>
            </w:r>
          </w:hyperlink>
        </w:p>
        <w:p>
          <w:pPr>
            <w:pStyle w:val="TOC2"/>
            <w:tabs>
              <w:tab w:val="right" w:pos="9184" w:leader="dot"/>
            </w:tabs>
          </w:pPr>
          <w:hyperlink w:history="1" w:anchor="_Toc23">
            <w:r>
              <w:t xml:space="preserve">5.1 根因分析</w:t>
            </w:r>
            <w:r>
              <w:tab/>
            </w:r>
            <w:r>
              <w:fldChar w:fldCharType="begin" w:dirty="true"/>
              <w:instrText xml:space="preserve">PAGEREF _Toc23 \h</w:instrText>
              <w:fldChar w:fldCharType="separate"/>
              <w:fldChar w:fldCharType="end"/>
            </w:r>
          </w:hyperlink>
        </w:p>
        <w:p>
          <w:pPr>
            <w:pStyle w:val="TOC2"/>
            <w:tabs>
              <w:tab w:val="right" w:pos="9184" w:leader="dot"/>
            </w:tabs>
          </w:pPr>
          <w:hyperlink w:history="1" w:anchor="_Toc24">
            <w:r>
              <w:t xml:space="preserve">5.2 改进措施</w:t>
            </w:r>
            <w:r>
              <w:tab/>
            </w:r>
            <w:r>
              <w:fldChar w:fldCharType="begin" w:dirty="true"/>
              <w:instrText xml:space="preserve">PAGEREF _Toc24 \h</w:instrText>
              <w:fldChar w:fldCharType="separate"/>
              <w:fldChar w:fldCharType="end"/>
            </w:r>
          </w:hyperlink>
        </w:p>
        <w:p>
          <w:pPr>
            <w:pStyle w:val="TOC2"/>
            <w:tabs>
              <w:tab w:val="right" w:pos="9184" w:leader="dot"/>
            </w:tabs>
          </w:pPr>
          <w:hyperlink w:history="1" w:anchor="_Toc25">
            <w:r>
              <w:t xml:space="preserve">5.3 可复用审核要点</w:t>
            </w:r>
            <w:r>
              <w:tab/>
            </w:r>
            <w:r>
              <w:fldChar w:fldCharType="begin" w:dirty="true"/>
              <w:instrText xml:space="preserve">PAGEREF _Toc25 \h</w:instrText>
              <w:fldChar w:fldCharType="separate"/>
              <w:fldChar w:fldCharType="end"/>
            </w:r>
          </w:hyperlink>
        </w:p>
        <w:p>
          <w:pPr>
            <w:pStyle w:val="TOC1"/>
            <w:tabs>
              <w:tab w:val="right" w:pos="9184" w:leader="dot"/>
            </w:tabs>
          </w:pPr>
          <w:hyperlink w:history="1" w:anchor="_Toc26">
            <w:r>
              <w:t xml:space="preserve">六、审核依据</w:t>
            </w:r>
            <w:r>
              <w:tab/>
            </w:r>
            <w:r>
              <w:fldChar w:fldCharType="begin" w:dirty="true"/>
              <w:instrText xml:space="preserve">PAGEREF _Toc26 \h</w:instrText>
              <w:fldChar w:fldCharType="separate"/>
              <w:fldChar w:fldCharType="end"/>
            </w:r>
          </w:hyperlink>
        </w:p>
        <w:p>
          <w:pPr>
            <w:pStyle w:val="TOC1"/>
            <w:tabs>
              <w:tab w:val="right" w:pos="9184" w:leader="dot"/>
            </w:tabs>
          </w:pPr>
          <w:hyperlink w:history="1" w:anchor="_Toc27">
            <w:r>
              <w:t xml:space="preserve">七、可直接粘贴的处方文本</w:t>
            </w:r>
            <w:r>
              <w:tab/>
            </w:r>
            <w:r>
              <w:fldChar w:fldCharType="begin" w:dirty="true"/>
              <w:instrText xml:space="preserve">PAGEREF _Toc27 \h</w:instrText>
              <w:fldChar w:fldCharType="separate"/>
              <w:fldChar w:fldCharType="end"/>
            </w:r>
          </w:hyperlink>
        </w:p>
        <w:p>
          <w:pPr>
            <w:pStyle w:val="TOC1"/>
            <w:tabs>
              <w:tab w:val="right" w:pos="9184" w:leader="dot"/>
            </w:tabs>
          </w:pPr>
          <w:hyperlink w:history="1" w:anchor="_Toc28">
            <w:r>
              <w:t xml:space="preserve">八、脱敏与使用说明</w:t>
            </w:r>
            <w:r>
              <w:tab/>
            </w:r>
            <w:r>
              <w:fldChar w:fldCharType="begin" w:dirty="true"/>
              <w:instrText xml:space="preserve">PAGEREF _Toc28 \h</w:instrText>
              <w:fldChar w:fldCharType="separate"/>
              <w:fldChar w:fldCharType="end"/>
            </w:r>
          </w:hyperlink>
        </w:p>
        <w:p>
          <w:r>
            <w:fldChar w:fldCharType="end"/>
          </w:r>
        </w:p>
      </w:sdtContent>
    </w:sdt>
    <w:p>
      <w:pPr>
        <w:spacing w:after="0" w:before="280"/>
      </w:pPr>
      <w:r>
        <w:rPr>
          <w:rFonts w:ascii="Times New Roman" w:eastAsia="宋体" w:hAnsi="Times New Roman"/>
          <w:b w:val="false"/>
          <w:bCs w:val="false"/>
          <w:color w:val="7A8FA6"/>
          <w:sz w:val="17"/>
          <w:szCs w:val="17"/>
        </w:rPr>
        <w:t xml:space="preserve">提示：在 Word 中打开后，如目录页码未自动更新，请右键目录选择“更新域 → 更新整个目录”。</w:t>
      </w:r>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2406"/>
        <w:gridCol w:w="6778"/>
      </w:tblGrid>
      <w:tr>
        <w:trPr>
          <w:cantSplit/>
          <w:tblHeader/>
        </w:trPr>
        <w:tc>
          <w:tcPr>
            <w:tcW w:type="dxa" w:w="2406"/>
            <w:shd w:fill="DCE9F7" w:color="auto" w:val="clear"/>
            <w:vAlign w:val="center"/>
          </w:tcPr>
          <w:p>
            <w:pPr>
              <w:spacing w:after="0" w:before="0" w:line="264"/>
              <w:jc w:val="center"/>
            </w:pPr>
            <w:r>
              <w:rPr>
                <w:rFonts w:ascii="Arial" w:eastAsia="宋体" w:hAnsi="Arial"/>
                <w:b/>
                <w:bCs/>
                <w:color w:val="1F3A5F"/>
                <w:sz w:val="18"/>
                <w:szCs w:val="18"/>
              </w:rPr>
              <w:t xml:space="preserve">项目</w:t>
            </w:r>
          </w:p>
        </w:tc>
        <w:tc>
          <w:tcPr>
            <w:tcW w:type="dxa" w:w="6778"/>
            <w:shd w:fill="DCE9F7" w:color="auto" w:val="clear"/>
            <w:vAlign w:val="center"/>
          </w:tcPr>
          <w:p>
            <w:pPr>
              <w:spacing w:after="0" w:before="0" w:line="264"/>
              <w:jc w:val="center"/>
            </w:pPr>
            <w:r>
              <w:rPr>
                <w:rFonts w:ascii="Arial" w:eastAsia="宋体" w:hAnsi="Arial"/>
                <w:b/>
                <w:bCs/>
                <w:color w:val="1F3A5F"/>
                <w:sz w:val="18"/>
                <w:szCs w:val="18"/>
              </w:rPr>
              <w:t xml:space="preserve">内容</w:t>
            </w:r>
          </w:p>
        </w:tc>
      </w:tr>
      <w:tr>
        <w:trPr>
          <w:cantSplit/>
          <w:tblHeader w:val="off"/>
        </w:trPr>
        <w:tc>
          <w:tcPr>
            <w:tcW w:type="dxa" w:w="2406"/>
            <w:vAlign w:val="top"/>
          </w:tcPr>
          <w:p>
            <w:pPr>
              <w:spacing w:after="0" w:before="0" w:line="264"/>
              <w:jc w:val="left"/>
            </w:pPr>
            <w:r>
              <w:rPr>
                <w:rFonts w:ascii="Arial" w:eastAsia="宋体" w:hAnsi="Arial"/>
                <w:b w:val="false"/>
                <w:bCs w:val="false"/>
                <w:color w:val="222A33"/>
                <w:sz w:val="18"/>
                <w:szCs w:val="18"/>
              </w:rPr>
              <w:t xml:space="preserve">样例编号</w:t>
            </w:r>
          </w:p>
        </w:tc>
        <w:tc>
          <w:tcPr>
            <w:tcW w:type="dxa" w:w="6778"/>
            <w:vAlign w:val="top"/>
          </w:tcPr>
          <w:p>
            <w:pPr>
              <w:spacing w:after="0" w:before="0" w:line="264"/>
              <w:jc w:val="left"/>
            </w:pPr>
            <w:r>
              <w:rPr>
                <w:rFonts w:ascii="Arial" w:eastAsia="宋体" w:hAnsi="Arial"/>
                <w:b w:val="false"/>
                <w:bCs w:val="false"/>
                <w:color w:val="222A33"/>
                <w:sz w:val="18"/>
                <w:szCs w:val="18"/>
              </w:rPr>
              <w:t xml:space="preserve">DEMO-RX-2026-002</w:t>
            </w:r>
          </w:p>
        </w:tc>
      </w:tr>
      <w:tr>
        <w:trPr>
          <w:cantSplit/>
          <w:tblHeader w:val="off"/>
        </w:trPr>
        <w:tc>
          <w:tcPr>
            <w:tcW w:type="dxa" w:w="2406"/>
            <w:shd w:fill="F5F8FC" w:color="auto" w:val="clear"/>
            <w:vAlign w:val="top"/>
          </w:tcPr>
          <w:p>
            <w:pPr>
              <w:spacing w:after="0" w:before="0" w:line="264"/>
              <w:jc w:val="left"/>
            </w:pPr>
            <w:r>
              <w:rPr>
                <w:rFonts w:ascii="Arial" w:eastAsia="宋体" w:hAnsi="Arial"/>
                <w:b w:val="false"/>
                <w:bCs w:val="false"/>
                <w:color w:val="222A33"/>
                <w:sz w:val="18"/>
                <w:szCs w:val="18"/>
              </w:rPr>
              <w:t xml:space="preserve">样例用途</w:t>
            </w:r>
          </w:p>
        </w:tc>
        <w:tc>
          <w:tcPr>
            <w:tcW w:type="dxa" w:w="6778"/>
            <w:shd w:fill="F5F8FC" w:color="auto" w:val="clear"/>
            <w:vAlign w:val="top"/>
          </w:tcPr>
          <w:p>
            <w:pPr>
              <w:spacing w:after="0" w:before="0" w:line="264"/>
              <w:jc w:val="left"/>
            </w:pPr>
            <w:r>
              <w:rPr>
                <w:rFonts w:ascii="Arial" w:eastAsia="宋体" w:hAnsi="Arial"/>
                <w:b w:val="false"/>
                <w:bCs w:val="false"/>
                <w:color w:val="222A33"/>
                <w:sz w:val="18"/>
                <w:szCs w:val="18"/>
              </w:rPr>
              <w:t xml:space="preserve">处方审核流程演示 / 系统测试</w:t>
            </w:r>
          </w:p>
        </w:tc>
      </w:tr>
      <w:tr>
        <w:trPr>
          <w:cantSplit/>
          <w:tblHeader w:val="off"/>
        </w:trPr>
        <w:tc>
          <w:tcPr>
            <w:tcW w:type="dxa" w:w="2406"/>
            <w:vAlign w:val="top"/>
          </w:tcPr>
          <w:p>
            <w:pPr>
              <w:spacing w:after="0" w:before="0" w:line="264"/>
              <w:jc w:val="left"/>
            </w:pPr>
            <w:r>
              <w:rPr>
                <w:rFonts w:ascii="Arial" w:eastAsia="宋体" w:hAnsi="Arial"/>
                <w:b w:val="false"/>
                <w:bCs w:val="false"/>
                <w:color w:val="222A33"/>
                <w:sz w:val="18"/>
                <w:szCs w:val="18"/>
              </w:rPr>
              <w:t xml:space="preserve">审核类型</w:t>
            </w:r>
          </w:p>
        </w:tc>
        <w:tc>
          <w:tcPr>
            <w:tcW w:type="dxa" w:w="6778"/>
            <w:vAlign w:val="top"/>
          </w:tcPr>
          <w:p>
            <w:pPr>
              <w:spacing w:after="0" w:before="0" w:line="264"/>
              <w:jc w:val="left"/>
            </w:pPr>
            <w:r>
              <w:rPr>
                <w:rFonts w:ascii="Arial" w:eastAsia="宋体" w:hAnsi="Arial"/>
                <w:b w:val="false"/>
                <w:bCs w:val="false"/>
                <w:color w:val="222A33"/>
                <w:sz w:val="18"/>
                <w:szCs w:val="18"/>
              </w:rPr>
              <w:t xml:space="preserve">中药饮片处方适宜性审核</w:t>
            </w:r>
          </w:p>
        </w:tc>
      </w:tr>
      <w:tr>
        <w:trPr>
          <w:cantSplit/>
          <w:tblHeader w:val="off"/>
        </w:trPr>
        <w:tc>
          <w:tcPr>
            <w:tcW w:type="dxa" w:w="2406"/>
            <w:shd w:fill="F5F8FC" w:color="auto" w:val="clear"/>
            <w:vAlign w:val="top"/>
          </w:tcPr>
          <w:p>
            <w:pPr>
              <w:spacing w:after="0" w:before="0" w:line="264"/>
              <w:jc w:val="left"/>
            </w:pPr>
            <w:r>
              <w:rPr>
                <w:rFonts w:ascii="Arial" w:eastAsia="宋体" w:hAnsi="Arial"/>
                <w:b w:val="false"/>
                <w:bCs w:val="false"/>
                <w:color w:val="222A33"/>
                <w:sz w:val="18"/>
                <w:szCs w:val="18"/>
              </w:rPr>
              <w:t xml:space="preserve">审核结论</w:t>
            </w:r>
          </w:p>
        </w:tc>
        <w:tc>
          <w:tcPr>
            <w:tcW w:type="dxa" w:w="6778"/>
            <w:shd w:fill="F5F8FC" w:color="auto" w:val="clear"/>
            <w:vAlign w:val="top"/>
          </w:tcPr>
          <w:p>
            <w:pPr>
              <w:spacing w:after="0" w:before="0" w:line="264"/>
              <w:jc w:val="left"/>
            </w:pPr>
            <w:r>
              <w:rPr>
                <w:rFonts w:ascii="Arial" w:eastAsia="宋体" w:hAnsi="Arial"/>
                <w:b/>
                <w:bCs/>
                <w:color w:val="222A33"/>
                <w:sz w:val="18"/>
                <w:szCs w:val="18"/>
              </w:rPr>
              <w:t xml:space="preserve">不通过</w:t>
            </w:r>
            <w:r>
              <w:rPr>
                <w:rFonts w:ascii="Arial" w:eastAsia="宋体" w:hAnsi="Arial"/>
                <w:b w:val="false"/>
                <w:bCs w:val="false"/>
                <w:color w:val="222A33"/>
                <w:sz w:val="18"/>
                <w:szCs w:val="18"/>
              </w:rPr>
              <w:t xml:space="preserve">，退回医师；沟通后仍未修改，处方作废，未调配</w:t>
            </w:r>
          </w:p>
        </w:tc>
      </w:tr>
      <w:tr>
        <w:trPr>
          <w:cantSplit/>
          <w:tblHeader w:val="off"/>
        </w:trPr>
        <w:tc>
          <w:tcPr>
            <w:tcW w:type="dxa" w:w="2406"/>
            <w:vAlign w:val="top"/>
          </w:tcPr>
          <w:p>
            <w:pPr>
              <w:spacing w:after="0" w:before="0" w:line="264"/>
              <w:jc w:val="left"/>
            </w:pPr>
            <w:r>
              <w:rPr>
                <w:rFonts w:ascii="Arial" w:eastAsia="宋体" w:hAnsi="Arial"/>
                <w:b w:val="false"/>
                <w:bCs w:val="false"/>
                <w:color w:val="222A33"/>
                <w:sz w:val="18"/>
                <w:szCs w:val="18"/>
              </w:rPr>
              <w:t xml:space="preserve">与样例一的关系</w:t>
            </w:r>
          </w:p>
        </w:tc>
        <w:tc>
          <w:tcPr>
            <w:tcW w:type="dxa" w:w="6778"/>
            <w:vAlign w:val="top"/>
          </w:tcPr>
          <w:p>
            <w:pPr>
              <w:spacing w:after="0" w:before="0" w:line="264"/>
              <w:jc w:val="left"/>
            </w:pPr>
            <w:r>
              <w:rPr>
                <w:rFonts w:ascii="Arial" w:eastAsia="宋体" w:hAnsi="Arial"/>
                <w:b w:val="false"/>
                <w:bCs w:val="false"/>
                <w:color w:val="222A33"/>
                <w:sz w:val="18"/>
                <w:szCs w:val="18"/>
              </w:rPr>
              <w:t xml:space="preserve">[样例一](处方审核样例-脱敏.md)为十八反经修改后通过；本样例展示多重问题且最终不通过的流程</w:t>
            </w:r>
          </w:p>
        </w:tc>
      </w:tr>
    </w:tbl>
    <w:p>
      <w:pPr>
        <w:spacing w:after="0" w:before="0" w:line="80"/>
      </w:pPr>
    </w:p>
    <w:p>
      <w:pPr>
        <w:pStyle w:val="Heading1"/>
        <w:keepNext/>
        <w:pageBreakBefore/>
        <w:pBdr>
          <w:bottom w:val="single" w:color="B7CCE3" w:sz="8" w:space="4"/>
        </w:pBdr>
      </w:pPr>
      <w:bookmarkStart w:name="_Toc1" w:id="1"/>
      <w:r>
        <w:rPr>
          <w:rFonts w:ascii="Arial" w:eastAsia="黑体" w:hAnsi="Arial"/>
          <w:b/>
          <w:bCs/>
          <w:color w:val="1F3A5F"/>
          <w:sz w:val="36"/>
          <w:szCs w:val="36"/>
        </w:rPr>
        <w:t xml:space="preserve">一、病例摘要</w:t>
      </w:r>
      <w:bookmarkEnd w:id="1"/>
    </w:p>
    <w:p>
      <w:pPr>
        <w:pStyle w:val="Heading2"/>
        <w:keepNext/>
        <w:pBdr>
          <w:bottom w:val="single" w:color="D6E3F0" w:sz="6" w:space="2"/>
        </w:pBdr>
      </w:pPr>
      <w:bookmarkStart w:name="_Toc2" w:id="2"/>
      <w:r>
        <w:rPr>
          <w:rFonts w:ascii="Arial" w:eastAsia="黑体" w:hAnsi="Arial"/>
          <w:b/>
          <w:bCs/>
          <w:color w:val="2E5C8A"/>
          <w:sz w:val="28"/>
          <w:szCs w:val="28"/>
        </w:rPr>
        <w:t xml:space="preserve">1.1 基本信息</w:t>
      </w:r>
      <w:bookmarkEnd w:id="2"/>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2921"/>
        <w:gridCol w:w="6263"/>
      </w:tblGrid>
      <w:tr>
        <w:trPr>
          <w:cantSplit/>
          <w:tblHeader/>
        </w:trPr>
        <w:tc>
          <w:tcPr>
            <w:tcW w:type="dxa" w:w="2921"/>
            <w:shd w:fill="DCE9F7" w:color="auto" w:val="clear"/>
            <w:vAlign w:val="center"/>
          </w:tcPr>
          <w:p>
            <w:pPr>
              <w:spacing w:after="0" w:before="0" w:line="264"/>
              <w:jc w:val="center"/>
            </w:pPr>
            <w:r>
              <w:rPr>
                <w:rFonts w:ascii="Arial" w:eastAsia="宋体" w:hAnsi="Arial"/>
                <w:b/>
                <w:bCs/>
                <w:color w:val="1F3A5F"/>
                <w:sz w:val="18"/>
                <w:szCs w:val="18"/>
              </w:rPr>
              <w:t xml:space="preserve">项目</w:t>
            </w:r>
          </w:p>
        </w:tc>
        <w:tc>
          <w:tcPr>
            <w:tcW w:type="dxa" w:w="6263"/>
            <w:shd w:fill="DCE9F7" w:color="auto" w:val="clear"/>
            <w:vAlign w:val="center"/>
          </w:tcPr>
          <w:p>
            <w:pPr>
              <w:spacing w:after="0" w:before="0" w:line="264"/>
              <w:jc w:val="center"/>
            </w:pPr>
            <w:r>
              <w:rPr>
                <w:rFonts w:ascii="Arial" w:eastAsia="宋体" w:hAnsi="Arial"/>
                <w:b/>
                <w:bCs/>
                <w:color w:val="1F3A5F"/>
                <w:sz w:val="18"/>
                <w:szCs w:val="18"/>
              </w:rPr>
              <w:t xml:space="preserve">内容</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患者</w:t>
            </w:r>
          </w:p>
        </w:tc>
        <w:tc>
          <w:tcPr>
            <w:tcW w:type="dxa" w:w="6263"/>
            <w:vAlign w:val="top"/>
          </w:tcPr>
          <w:p>
            <w:pPr>
              <w:spacing w:after="0" w:before="0" w:line="264"/>
              <w:jc w:val="left"/>
            </w:pPr>
            <w:r>
              <w:rPr>
                <w:rFonts w:ascii="Arial" w:eastAsia="宋体" w:hAnsi="Arial"/>
                <w:b w:val="false"/>
                <w:bCs w:val="false"/>
                <w:color w:val="222A33"/>
                <w:sz w:val="18"/>
                <w:szCs w:val="18"/>
              </w:rPr>
              <w:t xml:space="preserve">周某某（化名），男，62 岁，体重 68 kg</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门诊号</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DEMO-2026-0002（虚构）</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就诊日期</w:t>
            </w:r>
          </w:p>
        </w:tc>
        <w:tc>
          <w:tcPr>
            <w:tcW w:type="dxa" w:w="6263"/>
            <w:vAlign w:val="top"/>
          </w:tcPr>
          <w:p>
            <w:pPr>
              <w:spacing w:after="0" w:before="0" w:line="264"/>
              <w:jc w:val="left"/>
            </w:pPr>
            <w:r>
              <w:rPr>
                <w:rFonts w:ascii="Arial" w:eastAsia="宋体" w:hAnsi="Arial"/>
                <w:b w:val="false"/>
                <w:bCs w:val="false"/>
                <w:color w:val="222A33"/>
                <w:sz w:val="18"/>
                <w:szCs w:val="18"/>
              </w:rPr>
              <w:t xml:space="preserve">2026-10-28（示例）</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科别</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中医内科（样例）</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过敏史</w:t>
            </w:r>
          </w:p>
        </w:tc>
        <w:tc>
          <w:tcPr>
            <w:tcW w:type="dxa" w:w="6263"/>
            <w:vAlign w:val="top"/>
          </w:tcPr>
          <w:p>
            <w:pPr>
              <w:spacing w:after="0" w:before="0" w:line="264"/>
              <w:jc w:val="left"/>
            </w:pPr>
            <w:r>
              <w:rPr>
                <w:rFonts w:ascii="Arial" w:eastAsia="宋体" w:hAnsi="Arial"/>
                <w:b w:val="false"/>
                <w:bCs w:val="false"/>
                <w:color w:val="222A33"/>
                <w:sz w:val="18"/>
                <w:szCs w:val="18"/>
              </w:rPr>
              <w:t xml:space="preserve">无（样例）</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既往史</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慢性浅表性胃炎 5 年；高血压 5 年</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现用药</w:t>
            </w:r>
          </w:p>
        </w:tc>
        <w:tc>
          <w:tcPr>
            <w:tcW w:type="dxa" w:w="6263"/>
            <w:vAlign w:val="top"/>
          </w:tcPr>
          <w:p>
            <w:pPr>
              <w:spacing w:after="0" w:before="0" w:line="264"/>
              <w:jc w:val="left"/>
            </w:pPr>
            <w:r>
              <w:rPr>
                <w:rFonts w:ascii="Arial" w:eastAsia="宋体" w:hAnsi="Arial"/>
                <w:b w:val="false"/>
                <w:bCs w:val="false"/>
                <w:color w:val="222A33"/>
                <w:sz w:val="18"/>
                <w:szCs w:val="18"/>
              </w:rPr>
              <w:t xml:space="preserve">苯磺酸氨氯地平片 5 mg，每日 1 次（样例）</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生命体征</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血压 132/84 mmHg，心率 76 次/分（样例）</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肝肾功能</w:t>
            </w:r>
          </w:p>
        </w:tc>
        <w:tc>
          <w:tcPr>
            <w:tcW w:type="dxa" w:w="6263"/>
            <w:vAlign w:val="top"/>
          </w:tcPr>
          <w:p>
            <w:pPr>
              <w:spacing w:after="0" w:before="0" w:line="264"/>
              <w:jc w:val="left"/>
            </w:pPr>
            <w:r>
              <w:rPr>
                <w:rFonts w:ascii="Arial" w:eastAsia="宋体" w:hAnsi="Arial"/>
                <w:b w:val="false"/>
                <w:bCs w:val="false"/>
                <w:color w:val="222A33"/>
                <w:sz w:val="18"/>
                <w:szCs w:val="18"/>
              </w:rPr>
              <w:t xml:space="preserve">近 3 个月未查；长期服药建议评估</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妊娠 / 哺乳</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不适用</w:t>
            </w:r>
          </w:p>
        </w:tc>
      </w:tr>
      <w:tr>
        <w:trPr>
          <w:cantSplit/>
          <w:tblHeader w:val="off"/>
        </w:trPr>
        <w:tc>
          <w:tcPr>
            <w:tcW w:type="dxa" w:w="2921"/>
            <w:vAlign w:val="top"/>
          </w:tcPr>
          <w:p>
            <w:pPr>
              <w:spacing w:after="0" w:before="0" w:line="264"/>
              <w:jc w:val="left"/>
            </w:pPr>
            <w:r>
              <w:rPr>
                <w:rFonts w:ascii="Arial" w:eastAsia="宋体" w:hAnsi="Arial"/>
                <w:b w:val="false"/>
                <w:bCs w:val="false"/>
                <w:color w:val="222A33"/>
                <w:sz w:val="18"/>
                <w:szCs w:val="18"/>
              </w:rPr>
              <w:t xml:space="preserve">处方医师</w:t>
            </w:r>
          </w:p>
        </w:tc>
        <w:tc>
          <w:tcPr>
            <w:tcW w:type="dxa" w:w="6263"/>
            <w:vAlign w:val="top"/>
          </w:tcPr>
          <w:p>
            <w:pPr>
              <w:spacing w:after="0" w:before="0" w:line="264"/>
              <w:jc w:val="left"/>
            </w:pPr>
            <w:r>
              <w:rPr>
                <w:rFonts w:ascii="Arial" w:eastAsia="宋体" w:hAnsi="Arial"/>
                <w:b w:val="false"/>
                <w:bCs w:val="false"/>
                <w:color w:val="222A33"/>
                <w:sz w:val="18"/>
                <w:szCs w:val="18"/>
              </w:rPr>
              <w:t xml:space="preserve">孙某某（化名）</w:t>
            </w:r>
          </w:p>
        </w:tc>
      </w:tr>
      <w:tr>
        <w:trPr>
          <w:cantSplit/>
          <w:tblHeader w:val="off"/>
        </w:trPr>
        <w:tc>
          <w:tcPr>
            <w:tcW w:type="dxa" w:w="2921"/>
            <w:shd w:fill="F5F8FC" w:color="auto" w:val="clear"/>
            <w:vAlign w:val="top"/>
          </w:tcPr>
          <w:p>
            <w:pPr>
              <w:spacing w:after="0" w:before="0" w:line="264"/>
              <w:jc w:val="left"/>
            </w:pPr>
            <w:r>
              <w:rPr>
                <w:rFonts w:ascii="Arial" w:eastAsia="宋体" w:hAnsi="Arial"/>
                <w:b w:val="false"/>
                <w:bCs w:val="false"/>
                <w:color w:val="222A33"/>
                <w:sz w:val="18"/>
                <w:szCs w:val="18"/>
              </w:rPr>
              <w:t xml:space="preserve">审核药师</w:t>
            </w:r>
          </w:p>
        </w:tc>
        <w:tc>
          <w:tcPr>
            <w:tcW w:type="dxa" w:w="6263"/>
            <w:shd w:fill="F5F8FC" w:color="auto" w:val="clear"/>
            <w:vAlign w:val="top"/>
          </w:tcPr>
          <w:p>
            <w:pPr>
              <w:spacing w:after="0" w:before="0" w:line="264"/>
              <w:jc w:val="left"/>
            </w:pPr>
            <w:r>
              <w:rPr>
                <w:rFonts w:ascii="Arial" w:eastAsia="宋体" w:hAnsi="Arial"/>
                <w:b w:val="false"/>
                <w:bCs w:val="false"/>
                <w:color w:val="222A33"/>
                <w:sz w:val="18"/>
                <w:szCs w:val="18"/>
              </w:rPr>
              <w:t xml:space="preserve">赵某某（化名）</w:t>
            </w:r>
          </w:p>
        </w:tc>
      </w:tr>
    </w:tbl>
    <w:p>
      <w:pPr>
        <w:spacing w:after="0" w:before="0" w:line="80"/>
      </w:pPr>
    </w:p>
    <w:p>
      <w:pPr>
        <w:pStyle w:val="Heading2"/>
        <w:keepNext/>
        <w:pBdr>
          <w:bottom w:val="single" w:color="D6E3F0" w:sz="6" w:space="2"/>
        </w:pBdr>
      </w:pPr>
      <w:bookmarkStart w:name="_Toc3" w:id="3"/>
      <w:r>
        <w:rPr>
          <w:rFonts w:ascii="Arial" w:eastAsia="黑体" w:hAnsi="Arial"/>
          <w:b/>
          <w:bCs/>
          <w:color w:val="2E5C8A"/>
          <w:sz w:val="28"/>
          <w:szCs w:val="28"/>
        </w:rPr>
        <w:t xml:space="preserve">1.2 主诉与现病史</w:t>
      </w:r>
      <w:bookmarkEnd w:id="3"/>
    </w:p>
    <w:p>
      <w:pPr>
        <w:pStyle w:val="ListParagraph"/>
        <w:numPr>
          <w:ilvl w:val="0"/>
          <w:numId w:val="2"/>
        </w:numPr>
        <w:spacing w:after="60" w:before="0" w:line="336"/>
      </w:pPr>
      <w:r>
        <w:rPr>
          <w:rFonts w:ascii="Times New Roman" w:eastAsia="宋体" w:hAnsi="Times New Roman"/>
          <w:b/>
          <w:bCs/>
          <w:color w:val="222A33"/>
          <w:sz w:val="21"/>
          <w:szCs w:val="21"/>
        </w:rPr>
        <w:t xml:space="preserve">主诉：</w:t>
      </w:r>
      <w:r>
        <w:rPr>
          <w:rFonts w:ascii="Times New Roman" w:eastAsia="宋体" w:hAnsi="Times New Roman"/>
          <w:b w:val="false"/>
          <w:bCs w:val="false"/>
          <w:color w:val="222A33"/>
          <w:sz w:val="21"/>
          <w:szCs w:val="21"/>
        </w:rPr>
        <w:t xml:space="preserve"> 反复胃脘隐痛 2 年，加重 1 周。</w:t>
      </w:r>
    </w:p>
    <w:p>
      <w:pPr>
        <w:pStyle w:val="ListParagraph"/>
        <w:numPr>
          <w:ilvl w:val="0"/>
          <w:numId w:val="2"/>
        </w:numPr>
        <w:spacing w:after="60" w:before="0" w:line="336"/>
      </w:pPr>
      <w:r>
        <w:rPr>
          <w:rFonts w:ascii="Times New Roman" w:eastAsia="宋体" w:hAnsi="Times New Roman"/>
          <w:b/>
          <w:bCs/>
          <w:color w:val="222A33"/>
          <w:sz w:val="21"/>
          <w:szCs w:val="21"/>
        </w:rPr>
        <w:t xml:space="preserve">现病史：</w:t>
      </w:r>
      <w:r>
        <w:rPr>
          <w:rFonts w:ascii="Times New Roman" w:eastAsia="宋体" w:hAnsi="Times New Roman"/>
          <w:b w:val="false"/>
          <w:bCs w:val="false"/>
          <w:color w:val="222A33"/>
          <w:sz w:val="21"/>
          <w:szCs w:val="21"/>
        </w:rPr>
        <w:t xml:space="preserve"> 胃脘隐痛，喜温喜按，食少乏力，餐后腹胀，大便偏溏；近 1 周因受凉症状加重，无呕血、黑便，无明显消瘦。</w:t>
      </w:r>
    </w:p>
    <w:p>
      <w:pPr>
        <w:pStyle w:val="ListParagraph"/>
        <w:numPr>
          <w:ilvl w:val="0"/>
          <w:numId w:val="2"/>
        </w:numPr>
        <w:spacing w:after="60" w:before="0" w:line="336"/>
      </w:pPr>
      <w:r>
        <w:rPr>
          <w:rFonts w:ascii="Times New Roman" w:eastAsia="宋体" w:hAnsi="Times New Roman"/>
          <w:b/>
          <w:bCs/>
          <w:color w:val="222A33"/>
          <w:sz w:val="21"/>
          <w:szCs w:val="21"/>
        </w:rPr>
        <w:t xml:space="preserve">舌脉（样例）：</w:t>
      </w:r>
      <w:r>
        <w:rPr>
          <w:rFonts w:ascii="Times New Roman" w:eastAsia="宋体" w:hAnsi="Times New Roman"/>
          <w:b w:val="false"/>
          <w:bCs w:val="false"/>
          <w:color w:val="222A33"/>
          <w:sz w:val="21"/>
          <w:szCs w:val="21"/>
        </w:rPr>
        <w:t xml:space="preserve"> 舌淡暗、苔白，脉沉细涩。</w:t>
      </w:r>
    </w:p>
    <w:p>
      <w:pPr>
        <w:pStyle w:val="ListParagraph"/>
        <w:numPr>
          <w:ilvl w:val="0"/>
          <w:numId w:val="2"/>
        </w:numPr>
        <w:spacing w:after="60" w:before="0" w:line="336"/>
      </w:pPr>
      <w:r>
        <w:rPr>
          <w:rFonts w:ascii="Times New Roman" w:eastAsia="宋体" w:hAnsi="Times New Roman"/>
          <w:b/>
          <w:bCs/>
          <w:color w:val="222A33"/>
          <w:sz w:val="21"/>
          <w:szCs w:val="21"/>
        </w:rPr>
        <w:t xml:space="preserve">诊断：</w:t>
      </w:r>
      <w:r>
        <w:rPr>
          <w:rFonts w:ascii="Times New Roman" w:eastAsia="宋体" w:hAnsi="Times New Roman"/>
          <w:b w:val="false"/>
          <w:bCs w:val="false"/>
          <w:color w:val="222A33"/>
          <w:sz w:val="21"/>
          <w:szCs w:val="21"/>
        </w:rPr>
        <w:t xml:space="preserve"> 胃脘痛（脾胃气虚、寒凝血瘀证）。</w:t>
      </w:r>
    </w:p>
    <w:p>
      <w:pPr>
        <w:pStyle w:val="ListParagraph"/>
        <w:numPr>
          <w:ilvl w:val="0"/>
          <w:numId w:val="2"/>
        </w:numPr>
        <w:spacing w:after="60" w:before="0" w:line="336"/>
      </w:pPr>
      <w:r>
        <w:rPr>
          <w:rFonts w:ascii="Times New Roman" w:eastAsia="宋体" w:hAnsi="Times New Roman"/>
          <w:b/>
          <w:bCs/>
          <w:color w:val="222A33"/>
          <w:sz w:val="21"/>
          <w:szCs w:val="21"/>
        </w:rPr>
        <w:t xml:space="preserve">治法：</w:t>
      </w:r>
      <w:r>
        <w:rPr>
          <w:rFonts w:ascii="Times New Roman" w:eastAsia="宋体" w:hAnsi="Times New Roman"/>
          <w:b w:val="false"/>
          <w:bCs w:val="false"/>
          <w:color w:val="222A33"/>
          <w:sz w:val="21"/>
          <w:szCs w:val="21"/>
        </w:rPr>
        <w:t xml:space="preserve"> 益气健脾，温中散寒，活血止痛。</w:t>
      </w:r>
    </w:p>
    <w:p>
      <w:pPr>
        <w:pStyle w:val="Heading2"/>
        <w:keepNext/>
        <w:pBdr>
          <w:bottom w:val="single" w:color="D6E3F0" w:sz="6" w:space="2"/>
        </w:pBdr>
      </w:pPr>
      <w:bookmarkStart w:name="_Toc4" w:id="4"/>
      <w:r>
        <w:rPr>
          <w:rFonts w:ascii="Arial" w:eastAsia="黑体" w:hAnsi="Arial"/>
          <w:b/>
          <w:bCs/>
          <w:color w:val="2E5C8A"/>
          <w:sz w:val="28"/>
          <w:szCs w:val="28"/>
        </w:rPr>
        <w:t xml:space="preserve">1.3 处方思路</w:t>
      </w:r>
      <w:bookmarkEnd w:id="4"/>
    </w:p>
    <w:p>
      <w:pPr>
        <w:spacing w:after="120" w:before="0" w:line="360"/>
        <w:ind w:firstLine="420"/>
        <w:jc w:val="both"/>
      </w:pPr>
      <w:r>
        <w:rPr>
          <w:rFonts w:ascii="Times New Roman" w:eastAsia="宋体" w:hAnsi="Times New Roman"/>
          <w:b w:val="false"/>
          <w:bCs w:val="false"/>
          <w:color w:val="222A33"/>
          <w:sz w:val="21"/>
          <w:szCs w:val="21"/>
        </w:rPr>
        <w:t xml:space="preserve">方以人参、麸炒白术、茯苓、炙甘草益气健脾；陈皮、法半夏和胃降逆；醋炙延胡索、五灵脂活血止痛；制吴茱萸、生姜温中散寒。方证方向基本相符，但人参与五灵脂同方、吴茱萸超量、特殊煎法缺失，构成审核不通过的理由。</w:t>
      </w:r>
    </w:p>
    <w:p>
      <w:pPr>
        <w:pStyle w:val="Heading1"/>
        <w:keepNext/>
        <w:pageBreakBefore/>
        <w:pBdr>
          <w:bottom w:val="single" w:color="B7CCE3" w:sz="8" w:space="4"/>
        </w:pBdr>
      </w:pPr>
      <w:bookmarkStart w:name="_Toc5" w:id="5"/>
      <w:r>
        <w:rPr>
          <w:rFonts w:ascii="Arial" w:eastAsia="黑体" w:hAnsi="Arial"/>
          <w:b/>
          <w:bCs/>
          <w:color w:val="1F3A5F"/>
          <w:sz w:val="36"/>
          <w:szCs w:val="36"/>
        </w:rPr>
        <w:t xml:space="preserve">二、处方内容（送审原方）</w:t>
      </w:r>
      <w:bookmarkEnd w:id="5"/>
    </w:p>
    <w:p>
      <w:pPr>
        <w:pStyle w:val="Heading2"/>
        <w:keepNext/>
        <w:pBdr>
          <w:bottom w:val="single" w:color="D6E3F0" w:sz="6" w:space="2"/>
        </w:pBdr>
      </w:pPr>
      <w:bookmarkStart w:name="_Toc6" w:id="6"/>
      <w:r>
        <w:rPr>
          <w:rFonts w:ascii="Arial" w:eastAsia="黑体" w:hAnsi="Arial"/>
          <w:b/>
          <w:bCs/>
          <w:color w:val="2E5C8A"/>
          <w:sz w:val="28"/>
          <w:szCs w:val="28"/>
        </w:rPr>
        <w:t xml:space="preserve">2.1 处方明细</w:t>
      </w:r>
      <w:bookmarkEnd w:id="6"/>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1032"/>
        <w:gridCol w:w="1518"/>
        <w:gridCol w:w="1683"/>
        <w:gridCol w:w="1459"/>
        <w:gridCol w:w="1602"/>
        <w:gridCol w:w="1890"/>
      </w:tblGrid>
      <w:tr>
        <w:trPr>
          <w:cantSplit/>
          <w:tblHeader/>
        </w:trPr>
        <w:tc>
          <w:tcPr>
            <w:tcW w:type="dxa" w:w="1032"/>
            <w:shd w:fill="DCE9F7" w:color="auto" w:val="clear"/>
            <w:vAlign w:val="center"/>
          </w:tcPr>
          <w:p>
            <w:pPr>
              <w:spacing w:after="0" w:before="0" w:line="264"/>
              <w:jc w:val="center"/>
            </w:pPr>
            <w:r>
              <w:rPr>
                <w:rFonts w:ascii="Arial" w:eastAsia="宋体" w:hAnsi="Arial"/>
                <w:b/>
                <w:bCs/>
                <w:color w:val="1F3A5F"/>
                <w:sz w:val="17"/>
                <w:szCs w:val="17"/>
              </w:rPr>
              <w:t xml:space="preserve">序号</w:t>
            </w:r>
          </w:p>
        </w:tc>
        <w:tc>
          <w:tcPr>
            <w:tcW w:type="dxa" w:w="1518"/>
            <w:shd w:fill="DCE9F7" w:color="auto" w:val="clear"/>
            <w:vAlign w:val="center"/>
          </w:tcPr>
          <w:p>
            <w:pPr>
              <w:spacing w:after="0" w:before="0" w:line="264"/>
              <w:jc w:val="center"/>
            </w:pPr>
            <w:r>
              <w:rPr>
                <w:rFonts w:ascii="Arial" w:eastAsia="宋体" w:hAnsi="Arial"/>
                <w:b/>
                <w:bCs/>
                <w:color w:val="1F3A5F"/>
                <w:sz w:val="17"/>
                <w:szCs w:val="17"/>
              </w:rPr>
              <w:t xml:space="preserve">饮片</w:t>
            </w:r>
          </w:p>
        </w:tc>
        <w:tc>
          <w:tcPr>
            <w:tcW w:type="dxa" w:w="1683"/>
            <w:shd w:fill="DCE9F7" w:color="auto" w:val="clear"/>
            <w:vAlign w:val="center"/>
          </w:tcPr>
          <w:p>
            <w:pPr>
              <w:spacing w:after="0" w:before="0" w:line="264"/>
              <w:jc w:val="center"/>
            </w:pPr>
            <w:r>
              <w:rPr>
                <w:rFonts w:ascii="Arial" w:eastAsia="宋体" w:hAnsi="Arial"/>
                <w:b/>
                <w:bCs/>
                <w:color w:val="1F3A5F"/>
                <w:sz w:val="17"/>
                <w:szCs w:val="17"/>
              </w:rPr>
              <w:t xml:space="preserve">炮制规格</w:t>
            </w:r>
          </w:p>
        </w:tc>
        <w:tc>
          <w:tcPr>
            <w:tcW w:type="dxa" w:w="1459"/>
            <w:shd w:fill="DCE9F7" w:color="auto" w:val="clear"/>
            <w:vAlign w:val="center"/>
          </w:tcPr>
          <w:p>
            <w:pPr>
              <w:spacing w:after="0" w:before="0" w:line="264"/>
              <w:jc w:val="center"/>
            </w:pPr>
            <w:r>
              <w:rPr>
                <w:rFonts w:ascii="Arial" w:eastAsia="宋体" w:hAnsi="Arial"/>
                <w:b/>
                <w:bCs/>
                <w:color w:val="1F3A5F"/>
                <w:sz w:val="17"/>
                <w:szCs w:val="17"/>
              </w:rPr>
              <w:t xml:space="preserve">剂量</w:t>
            </w:r>
          </w:p>
        </w:tc>
        <w:tc>
          <w:tcPr>
            <w:tcW w:type="dxa" w:w="1602"/>
            <w:shd w:fill="DCE9F7" w:color="auto" w:val="clear"/>
            <w:vAlign w:val="center"/>
          </w:tcPr>
          <w:p>
            <w:pPr>
              <w:spacing w:after="0" w:before="0" w:line="264"/>
              <w:jc w:val="center"/>
            </w:pPr>
            <w:r>
              <w:rPr>
                <w:rFonts w:ascii="Arial" w:eastAsia="宋体" w:hAnsi="Arial"/>
                <w:b/>
                <w:bCs/>
                <w:color w:val="1F3A5F"/>
                <w:sz w:val="17"/>
                <w:szCs w:val="17"/>
              </w:rPr>
              <w:t xml:space="preserve">煎法 / 用法</w:t>
            </w:r>
          </w:p>
        </w:tc>
        <w:tc>
          <w:tcPr>
            <w:tcW w:type="dxa" w:w="1890"/>
            <w:shd w:fill="DCE9F7" w:color="auto" w:val="clear"/>
            <w:vAlign w:val="center"/>
          </w:tcPr>
          <w:p>
            <w:pPr>
              <w:spacing w:after="0" w:before="0" w:line="264"/>
              <w:jc w:val="center"/>
            </w:pPr>
            <w:r>
              <w:rPr>
                <w:rFonts w:ascii="Arial" w:eastAsia="宋体" w:hAnsi="Arial"/>
                <w:b/>
                <w:bCs/>
                <w:color w:val="1F3A5F"/>
                <w:sz w:val="17"/>
                <w:szCs w:val="17"/>
              </w:rPr>
              <w:t xml:space="preserve">备注</w:t>
            </w:r>
          </w:p>
        </w:tc>
      </w:tr>
      <w:tr>
        <w:trPr>
          <w:cantSplit/>
          <w:tblHeader w:val="off"/>
        </w:trPr>
        <w:tc>
          <w:tcPr>
            <w:tcW w:type="dxa" w:w="1032"/>
            <w:vAlign w:val="top"/>
          </w:tcPr>
          <w:p>
            <w:pPr>
              <w:spacing w:after="0" w:before="0" w:line="264"/>
              <w:jc w:val="left"/>
            </w:pPr>
            <w:r>
              <w:rPr>
                <w:rFonts w:ascii="Arial" w:eastAsia="宋体" w:hAnsi="Arial"/>
                <w:b w:val="false"/>
                <w:bCs w:val="false"/>
                <w:color w:val="222A33"/>
                <w:sz w:val="17"/>
                <w:szCs w:val="17"/>
              </w:rPr>
              <w:t xml:space="preserve">1</w:t>
            </w:r>
          </w:p>
        </w:tc>
        <w:tc>
          <w:tcPr>
            <w:tcW w:type="dxa" w:w="1518"/>
            <w:vAlign w:val="top"/>
          </w:tcPr>
          <w:p>
            <w:pPr>
              <w:spacing w:after="0" w:before="0" w:line="264"/>
              <w:jc w:val="left"/>
            </w:pPr>
            <w:r>
              <w:rPr>
                <w:rFonts w:ascii="Arial" w:eastAsia="宋体" w:hAnsi="Arial"/>
                <w:b w:val="false"/>
                <w:bCs w:val="false"/>
                <w:color w:val="222A33"/>
                <w:sz w:val="17"/>
                <w:szCs w:val="17"/>
              </w:rPr>
              <w:t xml:space="preserve">人参</w:t>
            </w:r>
          </w:p>
        </w:tc>
        <w:tc>
          <w:tcPr>
            <w:tcW w:type="dxa" w:w="1683"/>
            <w:vAlign w:val="top"/>
          </w:tcPr>
          <w:p>
            <w:pPr>
              <w:spacing w:after="0" w:before="0" w:line="264"/>
              <w:jc w:val="left"/>
            </w:pPr>
            <w:r>
              <w:rPr>
                <w:rFonts w:ascii="Arial" w:eastAsia="宋体" w:hAnsi="Arial"/>
                <w:b w:val="false"/>
                <w:bCs w:val="false"/>
                <w:color w:val="222A33"/>
                <w:sz w:val="17"/>
                <w:szCs w:val="17"/>
              </w:rPr>
              <w:t xml:space="preserve">生晒参（样例）</w:t>
            </w:r>
          </w:p>
        </w:tc>
        <w:tc>
          <w:tcPr>
            <w:tcW w:type="dxa" w:w="1459"/>
            <w:vAlign w:val="top"/>
          </w:tcPr>
          <w:p>
            <w:pPr>
              <w:spacing w:after="0" w:before="0" w:line="264"/>
              <w:jc w:val="left"/>
            </w:pPr>
            <w:r>
              <w:rPr>
                <w:rFonts w:ascii="Arial" w:eastAsia="宋体" w:hAnsi="Arial"/>
                <w:b w:val="false"/>
                <w:bCs w:val="false"/>
                <w:color w:val="222A33"/>
                <w:sz w:val="17"/>
                <w:szCs w:val="17"/>
              </w:rPr>
              <w:t xml:space="preserve">9 g</w:t>
            </w:r>
          </w:p>
        </w:tc>
        <w:tc>
          <w:tcPr>
            <w:tcW w:type="dxa" w:w="1602"/>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vAlign w:val="top"/>
          </w:tcPr>
          <w:p>
            <w:pPr>
              <w:spacing w:after="0" w:before="0" w:line="264"/>
              <w:jc w:val="left"/>
            </w:pPr>
            <w:r>
              <w:rPr>
                <w:rFonts w:ascii="Arial" w:eastAsia="宋体" w:hAnsi="Arial"/>
                <w:b w:val="false"/>
                <w:bCs w:val="false"/>
                <w:color w:val="222A33"/>
                <w:sz w:val="17"/>
                <w:szCs w:val="17"/>
              </w:rPr>
              <w:t xml:space="preserve">未注明另煎</w:t>
            </w:r>
          </w:p>
        </w:tc>
      </w:tr>
      <w:tr>
        <w:trPr>
          <w:cantSplit/>
          <w:tblHeader w:val="off"/>
        </w:trPr>
        <w:tc>
          <w:tcPr>
            <w:tcW w:type="dxa" w:w="1032"/>
            <w:shd w:fill="F5F8FC" w:color="auto" w:val="clear"/>
            <w:vAlign w:val="top"/>
          </w:tcPr>
          <w:p>
            <w:pPr>
              <w:spacing w:after="0" w:before="0" w:line="264"/>
              <w:jc w:val="left"/>
            </w:pPr>
            <w:r>
              <w:rPr>
                <w:rFonts w:ascii="Arial" w:eastAsia="宋体" w:hAnsi="Arial"/>
                <w:b w:val="false"/>
                <w:bCs w:val="false"/>
                <w:color w:val="222A33"/>
                <w:sz w:val="17"/>
                <w:szCs w:val="17"/>
              </w:rPr>
              <w:t xml:space="preserve">2</w:t>
            </w:r>
          </w:p>
        </w:tc>
        <w:tc>
          <w:tcPr>
            <w:tcW w:type="dxa" w:w="1518"/>
            <w:shd w:fill="F5F8FC" w:color="auto" w:val="clear"/>
            <w:vAlign w:val="top"/>
          </w:tcPr>
          <w:p>
            <w:pPr>
              <w:spacing w:after="0" w:before="0" w:line="264"/>
              <w:jc w:val="left"/>
            </w:pPr>
            <w:r>
              <w:rPr>
                <w:rFonts w:ascii="Arial" w:eastAsia="宋体" w:hAnsi="Arial"/>
                <w:b w:val="false"/>
                <w:bCs w:val="false"/>
                <w:color w:val="222A33"/>
                <w:sz w:val="17"/>
                <w:szCs w:val="17"/>
              </w:rPr>
              <w:t xml:space="preserve">五灵脂</w:t>
            </w:r>
          </w:p>
        </w:tc>
        <w:tc>
          <w:tcPr>
            <w:tcW w:type="dxa" w:w="1683"/>
            <w:shd w:fill="F5F8FC" w:color="auto" w:val="clear"/>
            <w:vAlign w:val="top"/>
          </w:tcPr>
          <w:p>
            <w:pPr>
              <w:spacing w:after="0" w:before="0" w:line="264"/>
              <w:jc w:val="left"/>
            </w:pPr>
            <w:r>
              <w:rPr>
                <w:rFonts w:ascii="Arial" w:eastAsia="宋体" w:hAnsi="Arial"/>
                <w:b w:val="false"/>
                <w:bCs w:val="false"/>
                <w:color w:val="222A33"/>
                <w:sz w:val="17"/>
                <w:szCs w:val="17"/>
              </w:rPr>
              <w:t xml:space="preserve">醋炙五灵脂</w:t>
            </w:r>
          </w:p>
        </w:tc>
        <w:tc>
          <w:tcPr>
            <w:tcW w:type="dxa" w:w="1459"/>
            <w:shd w:fill="F5F8FC" w:color="auto" w:val="clear"/>
            <w:vAlign w:val="top"/>
          </w:tcPr>
          <w:p>
            <w:pPr>
              <w:spacing w:after="0" w:before="0" w:line="264"/>
              <w:jc w:val="left"/>
            </w:pPr>
            <w:r>
              <w:rPr>
                <w:rFonts w:ascii="Arial" w:eastAsia="宋体" w:hAnsi="Arial"/>
                <w:b w:val="false"/>
                <w:bCs w:val="false"/>
                <w:color w:val="222A33"/>
                <w:sz w:val="17"/>
                <w:szCs w:val="17"/>
              </w:rPr>
              <w:t xml:space="preserve">10 g</w:t>
            </w:r>
          </w:p>
        </w:tc>
        <w:tc>
          <w:tcPr>
            <w:tcW w:type="dxa" w:w="1602"/>
            <w:shd w:fill="F5F8FC" w:color="auto" w:val="clear"/>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shd w:fill="F5F8FC" w:color="auto" w:val="clear"/>
            <w:vAlign w:val="top"/>
          </w:tcPr>
          <w:p>
            <w:pPr>
              <w:spacing w:after="0" w:before="0" w:line="264"/>
              <w:jc w:val="left"/>
            </w:pPr>
            <w:r>
              <w:rPr>
                <w:rFonts w:ascii="Arial" w:eastAsia="宋体" w:hAnsi="Arial"/>
                <w:b w:val="false"/>
                <w:bCs w:val="false"/>
                <w:color w:val="222A33"/>
                <w:sz w:val="17"/>
                <w:szCs w:val="17"/>
              </w:rPr>
              <w:t xml:space="preserve">未注明包煎；与人参同方</w:t>
            </w:r>
          </w:p>
        </w:tc>
      </w:tr>
      <w:tr>
        <w:trPr>
          <w:cantSplit/>
          <w:tblHeader w:val="off"/>
        </w:trPr>
        <w:tc>
          <w:tcPr>
            <w:tcW w:type="dxa" w:w="1032"/>
            <w:vAlign w:val="top"/>
          </w:tcPr>
          <w:p>
            <w:pPr>
              <w:spacing w:after="0" w:before="0" w:line="264"/>
              <w:jc w:val="left"/>
            </w:pPr>
            <w:r>
              <w:rPr>
                <w:rFonts w:ascii="Arial" w:eastAsia="宋体" w:hAnsi="Arial"/>
                <w:b w:val="false"/>
                <w:bCs w:val="false"/>
                <w:color w:val="222A33"/>
                <w:sz w:val="17"/>
                <w:szCs w:val="17"/>
              </w:rPr>
              <w:t xml:space="preserve">3</w:t>
            </w:r>
          </w:p>
        </w:tc>
        <w:tc>
          <w:tcPr>
            <w:tcW w:type="dxa" w:w="1518"/>
            <w:vAlign w:val="top"/>
          </w:tcPr>
          <w:p>
            <w:pPr>
              <w:spacing w:after="0" w:before="0" w:line="264"/>
              <w:jc w:val="left"/>
            </w:pPr>
            <w:r>
              <w:rPr>
                <w:rFonts w:ascii="Arial" w:eastAsia="宋体" w:hAnsi="Arial"/>
                <w:b w:val="false"/>
                <w:bCs w:val="false"/>
                <w:color w:val="222A33"/>
                <w:sz w:val="17"/>
                <w:szCs w:val="17"/>
              </w:rPr>
              <w:t xml:space="preserve">麸炒白术</w:t>
            </w:r>
          </w:p>
        </w:tc>
        <w:tc>
          <w:tcPr>
            <w:tcW w:type="dxa" w:w="1683"/>
            <w:vAlign w:val="top"/>
          </w:tcPr>
          <w:p>
            <w:pPr>
              <w:spacing w:after="0" w:before="0" w:line="264"/>
              <w:jc w:val="left"/>
            </w:pPr>
            <w:r>
              <w:rPr>
                <w:rFonts w:ascii="Arial" w:eastAsia="宋体" w:hAnsi="Arial"/>
                <w:b w:val="false"/>
                <w:bCs w:val="false"/>
                <w:color w:val="222A33"/>
                <w:sz w:val="17"/>
                <w:szCs w:val="17"/>
              </w:rPr>
              <w:t xml:space="preserve">麸炒白术</w:t>
            </w:r>
          </w:p>
        </w:tc>
        <w:tc>
          <w:tcPr>
            <w:tcW w:type="dxa" w:w="1459"/>
            <w:vAlign w:val="top"/>
          </w:tcPr>
          <w:p>
            <w:pPr>
              <w:spacing w:after="0" w:before="0" w:line="264"/>
              <w:jc w:val="left"/>
            </w:pPr>
            <w:r>
              <w:rPr>
                <w:rFonts w:ascii="Arial" w:eastAsia="宋体" w:hAnsi="Arial"/>
                <w:b w:val="false"/>
                <w:bCs w:val="false"/>
                <w:color w:val="222A33"/>
                <w:sz w:val="17"/>
                <w:szCs w:val="17"/>
              </w:rPr>
              <w:t xml:space="preserve">12 g</w:t>
            </w:r>
          </w:p>
        </w:tc>
        <w:tc>
          <w:tcPr>
            <w:tcW w:type="dxa" w:w="1602"/>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shd w:fill="F5F8FC" w:color="auto" w:val="clear"/>
            <w:vAlign w:val="top"/>
          </w:tcPr>
          <w:p>
            <w:pPr>
              <w:spacing w:after="0" w:before="0" w:line="264"/>
              <w:jc w:val="left"/>
            </w:pPr>
            <w:r>
              <w:rPr>
                <w:rFonts w:ascii="Arial" w:eastAsia="宋体" w:hAnsi="Arial"/>
                <w:b w:val="false"/>
                <w:bCs w:val="false"/>
                <w:color w:val="222A33"/>
                <w:sz w:val="17"/>
                <w:szCs w:val="17"/>
              </w:rPr>
              <w:t xml:space="preserve">4</w:t>
            </w:r>
          </w:p>
        </w:tc>
        <w:tc>
          <w:tcPr>
            <w:tcW w:type="dxa" w:w="1518"/>
            <w:shd w:fill="F5F8FC" w:color="auto" w:val="clear"/>
            <w:vAlign w:val="top"/>
          </w:tcPr>
          <w:p>
            <w:pPr>
              <w:spacing w:after="0" w:before="0" w:line="264"/>
              <w:jc w:val="left"/>
            </w:pPr>
            <w:r>
              <w:rPr>
                <w:rFonts w:ascii="Arial" w:eastAsia="宋体" w:hAnsi="Arial"/>
                <w:b w:val="false"/>
                <w:bCs w:val="false"/>
                <w:color w:val="222A33"/>
                <w:sz w:val="17"/>
                <w:szCs w:val="17"/>
              </w:rPr>
              <w:t xml:space="preserve">茯苓</w:t>
            </w:r>
          </w:p>
        </w:tc>
        <w:tc>
          <w:tcPr>
            <w:tcW w:type="dxa" w:w="1683"/>
            <w:shd w:fill="F5F8FC" w:color="auto" w:val="clear"/>
            <w:vAlign w:val="top"/>
          </w:tcPr>
          <w:p>
            <w:pPr>
              <w:spacing w:after="0" w:before="0" w:line="264"/>
              <w:jc w:val="left"/>
            </w:pPr>
            <w:r>
              <w:rPr>
                <w:rFonts w:ascii="Arial" w:eastAsia="宋体" w:hAnsi="Arial"/>
                <w:b w:val="false"/>
                <w:bCs w:val="false"/>
                <w:color w:val="222A33"/>
                <w:sz w:val="17"/>
                <w:szCs w:val="17"/>
              </w:rPr>
              <w:t xml:space="preserve">茯苓</w:t>
            </w:r>
          </w:p>
        </w:tc>
        <w:tc>
          <w:tcPr>
            <w:tcW w:type="dxa" w:w="1459"/>
            <w:shd w:fill="F5F8FC" w:color="auto" w:val="clear"/>
            <w:vAlign w:val="top"/>
          </w:tcPr>
          <w:p>
            <w:pPr>
              <w:spacing w:after="0" w:before="0" w:line="264"/>
              <w:jc w:val="left"/>
            </w:pPr>
            <w:r>
              <w:rPr>
                <w:rFonts w:ascii="Arial" w:eastAsia="宋体" w:hAnsi="Arial"/>
                <w:b w:val="false"/>
                <w:bCs w:val="false"/>
                <w:color w:val="222A33"/>
                <w:sz w:val="17"/>
                <w:szCs w:val="17"/>
              </w:rPr>
              <w:t xml:space="preserve">15 g</w:t>
            </w:r>
          </w:p>
        </w:tc>
        <w:tc>
          <w:tcPr>
            <w:tcW w:type="dxa" w:w="1602"/>
            <w:shd w:fill="F5F8FC" w:color="auto" w:val="clear"/>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shd w:fill="F5F8FC" w:color="auto" w:val="clear"/>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vAlign w:val="top"/>
          </w:tcPr>
          <w:p>
            <w:pPr>
              <w:spacing w:after="0" w:before="0" w:line="264"/>
              <w:jc w:val="left"/>
            </w:pPr>
            <w:r>
              <w:rPr>
                <w:rFonts w:ascii="Arial" w:eastAsia="宋体" w:hAnsi="Arial"/>
                <w:b w:val="false"/>
                <w:bCs w:val="false"/>
                <w:color w:val="222A33"/>
                <w:sz w:val="17"/>
                <w:szCs w:val="17"/>
              </w:rPr>
              <w:t xml:space="preserve">5</w:t>
            </w:r>
          </w:p>
        </w:tc>
        <w:tc>
          <w:tcPr>
            <w:tcW w:type="dxa" w:w="1518"/>
            <w:vAlign w:val="top"/>
          </w:tcPr>
          <w:p>
            <w:pPr>
              <w:spacing w:after="0" w:before="0" w:line="264"/>
              <w:jc w:val="left"/>
            </w:pPr>
            <w:r>
              <w:rPr>
                <w:rFonts w:ascii="Arial" w:eastAsia="宋体" w:hAnsi="Arial"/>
                <w:b w:val="false"/>
                <w:bCs w:val="false"/>
                <w:color w:val="222A33"/>
                <w:sz w:val="17"/>
                <w:szCs w:val="17"/>
              </w:rPr>
              <w:t xml:space="preserve">陈皮</w:t>
            </w:r>
          </w:p>
        </w:tc>
        <w:tc>
          <w:tcPr>
            <w:tcW w:type="dxa" w:w="1683"/>
            <w:vAlign w:val="top"/>
          </w:tcPr>
          <w:p>
            <w:pPr>
              <w:spacing w:after="0" w:before="0" w:line="264"/>
              <w:jc w:val="left"/>
            </w:pPr>
            <w:r>
              <w:rPr>
                <w:rFonts w:ascii="Arial" w:eastAsia="宋体" w:hAnsi="Arial"/>
                <w:b w:val="false"/>
                <w:bCs w:val="false"/>
                <w:color w:val="222A33"/>
                <w:sz w:val="17"/>
                <w:szCs w:val="17"/>
              </w:rPr>
              <w:t xml:space="preserve">陈皮</w:t>
            </w:r>
          </w:p>
        </w:tc>
        <w:tc>
          <w:tcPr>
            <w:tcW w:type="dxa" w:w="1459"/>
            <w:vAlign w:val="top"/>
          </w:tcPr>
          <w:p>
            <w:pPr>
              <w:spacing w:after="0" w:before="0" w:line="264"/>
              <w:jc w:val="left"/>
            </w:pPr>
            <w:r>
              <w:rPr>
                <w:rFonts w:ascii="Arial" w:eastAsia="宋体" w:hAnsi="Arial"/>
                <w:b w:val="false"/>
                <w:bCs w:val="false"/>
                <w:color w:val="222A33"/>
                <w:sz w:val="17"/>
                <w:szCs w:val="17"/>
              </w:rPr>
              <w:t xml:space="preserve">9 g</w:t>
            </w:r>
          </w:p>
        </w:tc>
        <w:tc>
          <w:tcPr>
            <w:tcW w:type="dxa" w:w="1602"/>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shd w:fill="F5F8FC" w:color="auto" w:val="clear"/>
            <w:vAlign w:val="top"/>
          </w:tcPr>
          <w:p>
            <w:pPr>
              <w:spacing w:after="0" w:before="0" w:line="264"/>
              <w:jc w:val="left"/>
            </w:pPr>
            <w:r>
              <w:rPr>
                <w:rFonts w:ascii="Arial" w:eastAsia="宋体" w:hAnsi="Arial"/>
                <w:b w:val="false"/>
                <w:bCs w:val="false"/>
                <w:color w:val="222A33"/>
                <w:sz w:val="17"/>
                <w:szCs w:val="17"/>
              </w:rPr>
              <w:t xml:space="preserve">6</w:t>
            </w:r>
          </w:p>
        </w:tc>
        <w:tc>
          <w:tcPr>
            <w:tcW w:type="dxa" w:w="1518"/>
            <w:shd w:fill="F5F8FC" w:color="auto" w:val="clear"/>
            <w:vAlign w:val="top"/>
          </w:tcPr>
          <w:p>
            <w:pPr>
              <w:spacing w:after="0" w:before="0" w:line="264"/>
              <w:jc w:val="left"/>
            </w:pPr>
            <w:r>
              <w:rPr>
                <w:rFonts w:ascii="Arial" w:eastAsia="宋体" w:hAnsi="Arial"/>
                <w:b w:val="false"/>
                <w:bCs w:val="false"/>
                <w:color w:val="222A33"/>
                <w:sz w:val="17"/>
                <w:szCs w:val="17"/>
              </w:rPr>
              <w:t xml:space="preserve">法半夏</w:t>
            </w:r>
          </w:p>
        </w:tc>
        <w:tc>
          <w:tcPr>
            <w:tcW w:type="dxa" w:w="1683"/>
            <w:shd w:fill="F5F8FC" w:color="auto" w:val="clear"/>
            <w:vAlign w:val="top"/>
          </w:tcPr>
          <w:p>
            <w:pPr>
              <w:spacing w:after="0" w:before="0" w:line="264"/>
              <w:jc w:val="left"/>
            </w:pPr>
            <w:r>
              <w:rPr>
                <w:rFonts w:ascii="Arial" w:eastAsia="宋体" w:hAnsi="Arial"/>
                <w:b w:val="false"/>
                <w:bCs w:val="false"/>
                <w:color w:val="222A33"/>
                <w:sz w:val="17"/>
                <w:szCs w:val="17"/>
              </w:rPr>
              <w:t xml:space="preserve">法半夏</w:t>
            </w:r>
          </w:p>
        </w:tc>
        <w:tc>
          <w:tcPr>
            <w:tcW w:type="dxa" w:w="1459"/>
            <w:shd w:fill="F5F8FC" w:color="auto" w:val="clear"/>
            <w:vAlign w:val="top"/>
          </w:tcPr>
          <w:p>
            <w:pPr>
              <w:spacing w:after="0" w:before="0" w:line="264"/>
              <w:jc w:val="left"/>
            </w:pPr>
            <w:r>
              <w:rPr>
                <w:rFonts w:ascii="Arial" w:eastAsia="宋体" w:hAnsi="Arial"/>
                <w:b w:val="false"/>
                <w:bCs w:val="false"/>
                <w:color w:val="222A33"/>
                <w:sz w:val="17"/>
                <w:szCs w:val="17"/>
              </w:rPr>
              <w:t xml:space="preserve">9 g</w:t>
            </w:r>
          </w:p>
        </w:tc>
        <w:tc>
          <w:tcPr>
            <w:tcW w:type="dxa" w:w="1602"/>
            <w:shd w:fill="F5F8FC" w:color="auto" w:val="clear"/>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shd w:fill="F5F8FC" w:color="auto" w:val="clear"/>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vAlign w:val="top"/>
          </w:tcPr>
          <w:p>
            <w:pPr>
              <w:spacing w:after="0" w:before="0" w:line="264"/>
              <w:jc w:val="left"/>
            </w:pPr>
            <w:r>
              <w:rPr>
                <w:rFonts w:ascii="Arial" w:eastAsia="宋体" w:hAnsi="Arial"/>
                <w:b w:val="false"/>
                <w:bCs w:val="false"/>
                <w:color w:val="222A33"/>
                <w:sz w:val="17"/>
                <w:szCs w:val="17"/>
              </w:rPr>
              <w:t xml:space="preserve">7</w:t>
            </w:r>
          </w:p>
        </w:tc>
        <w:tc>
          <w:tcPr>
            <w:tcW w:type="dxa" w:w="1518"/>
            <w:vAlign w:val="top"/>
          </w:tcPr>
          <w:p>
            <w:pPr>
              <w:spacing w:after="0" w:before="0" w:line="264"/>
              <w:jc w:val="left"/>
            </w:pPr>
            <w:r>
              <w:rPr>
                <w:rFonts w:ascii="Arial" w:eastAsia="宋体" w:hAnsi="Arial"/>
                <w:b w:val="false"/>
                <w:bCs w:val="false"/>
                <w:color w:val="222A33"/>
                <w:sz w:val="17"/>
                <w:szCs w:val="17"/>
              </w:rPr>
              <w:t xml:space="preserve">延胡索</w:t>
            </w:r>
          </w:p>
        </w:tc>
        <w:tc>
          <w:tcPr>
            <w:tcW w:type="dxa" w:w="1683"/>
            <w:vAlign w:val="top"/>
          </w:tcPr>
          <w:p>
            <w:pPr>
              <w:spacing w:after="0" w:before="0" w:line="264"/>
              <w:jc w:val="left"/>
            </w:pPr>
            <w:r>
              <w:rPr>
                <w:rFonts w:ascii="Arial" w:eastAsia="宋体" w:hAnsi="Arial"/>
                <w:b w:val="false"/>
                <w:bCs w:val="false"/>
                <w:color w:val="222A33"/>
                <w:sz w:val="17"/>
                <w:szCs w:val="17"/>
              </w:rPr>
              <w:t xml:space="preserve">醋炙延胡索</w:t>
            </w:r>
          </w:p>
        </w:tc>
        <w:tc>
          <w:tcPr>
            <w:tcW w:type="dxa" w:w="1459"/>
            <w:vAlign w:val="top"/>
          </w:tcPr>
          <w:p>
            <w:pPr>
              <w:spacing w:after="0" w:before="0" w:line="264"/>
              <w:jc w:val="left"/>
            </w:pPr>
            <w:r>
              <w:rPr>
                <w:rFonts w:ascii="Arial" w:eastAsia="宋体" w:hAnsi="Arial"/>
                <w:b w:val="false"/>
                <w:bCs w:val="false"/>
                <w:color w:val="222A33"/>
                <w:sz w:val="17"/>
                <w:szCs w:val="17"/>
              </w:rPr>
              <w:t xml:space="preserve">10 g</w:t>
            </w:r>
          </w:p>
        </w:tc>
        <w:tc>
          <w:tcPr>
            <w:tcW w:type="dxa" w:w="1602"/>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shd w:fill="F5F8FC" w:color="auto" w:val="clear"/>
            <w:vAlign w:val="top"/>
          </w:tcPr>
          <w:p>
            <w:pPr>
              <w:spacing w:after="0" w:before="0" w:line="264"/>
              <w:jc w:val="left"/>
            </w:pPr>
            <w:r>
              <w:rPr>
                <w:rFonts w:ascii="Arial" w:eastAsia="宋体" w:hAnsi="Arial"/>
                <w:b w:val="false"/>
                <w:bCs w:val="false"/>
                <w:color w:val="222A33"/>
                <w:sz w:val="17"/>
                <w:szCs w:val="17"/>
              </w:rPr>
              <w:t xml:space="preserve">8</w:t>
            </w:r>
          </w:p>
        </w:tc>
        <w:tc>
          <w:tcPr>
            <w:tcW w:type="dxa" w:w="1518"/>
            <w:shd w:fill="F5F8FC" w:color="auto" w:val="clear"/>
            <w:vAlign w:val="top"/>
          </w:tcPr>
          <w:p>
            <w:pPr>
              <w:spacing w:after="0" w:before="0" w:line="264"/>
              <w:jc w:val="left"/>
            </w:pPr>
            <w:r>
              <w:rPr>
                <w:rFonts w:ascii="Arial" w:eastAsia="宋体" w:hAnsi="Arial"/>
                <w:b w:val="false"/>
                <w:bCs w:val="false"/>
                <w:color w:val="222A33"/>
                <w:sz w:val="17"/>
                <w:szCs w:val="17"/>
              </w:rPr>
              <w:t xml:space="preserve">吴茱萸</w:t>
            </w:r>
          </w:p>
        </w:tc>
        <w:tc>
          <w:tcPr>
            <w:tcW w:type="dxa" w:w="1683"/>
            <w:shd w:fill="F5F8FC" w:color="auto" w:val="clear"/>
            <w:vAlign w:val="top"/>
          </w:tcPr>
          <w:p>
            <w:pPr>
              <w:spacing w:after="0" w:before="0" w:line="264"/>
              <w:jc w:val="left"/>
            </w:pPr>
            <w:r>
              <w:rPr>
                <w:rFonts w:ascii="Arial" w:eastAsia="宋体" w:hAnsi="Arial"/>
                <w:b w:val="false"/>
                <w:bCs w:val="false"/>
                <w:color w:val="222A33"/>
                <w:sz w:val="17"/>
                <w:szCs w:val="17"/>
              </w:rPr>
              <w:t xml:space="preserve">制吴茱萸</w:t>
            </w:r>
          </w:p>
        </w:tc>
        <w:tc>
          <w:tcPr>
            <w:tcW w:type="dxa" w:w="1459"/>
            <w:shd w:fill="F5F8FC" w:color="auto" w:val="clear"/>
            <w:vAlign w:val="top"/>
          </w:tcPr>
          <w:p>
            <w:pPr>
              <w:spacing w:after="0" w:before="0" w:line="264"/>
              <w:jc w:val="left"/>
            </w:pPr>
            <w:r>
              <w:rPr>
                <w:rFonts w:ascii="Arial" w:eastAsia="宋体" w:hAnsi="Arial"/>
                <w:b w:val="false"/>
                <w:bCs w:val="false"/>
                <w:color w:val="222A33"/>
                <w:sz w:val="17"/>
                <w:szCs w:val="17"/>
              </w:rPr>
              <w:t xml:space="preserve">10 g</w:t>
            </w:r>
          </w:p>
        </w:tc>
        <w:tc>
          <w:tcPr>
            <w:tcW w:type="dxa" w:w="1602"/>
            <w:shd w:fill="F5F8FC" w:color="auto" w:val="clear"/>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shd w:fill="F5F8FC" w:color="auto" w:val="clear"/>
            <w:vAlign w:val="top"/>
          </w:tcPr>
          <w:p>
            <w:pPr>
              <w:spacing w:after="0" w:before="0" w:line="264"/>
              <w:jc w:val="left"/>
            </w:pPr>
            <w:r>
              <w:rPr>
                <w:rFonts w:ascii="Arial" w:eastAsia="宋体" w:hAnsi="Arial"/>
                <w:b/>
                <w:bCs/>
                <w:color w:val="222A33"/>
                <w:sz w:val="17"/>
                <w:szCs w:val="17"/>
              </w:rPr>
              <w:t xml:space="preserve">超过药典用量上限</w:t>
            </w:r>
          </w:p>
        </w:tc>
      </w:tr>
      <w:tr>
        <w:trPr>
          <w:cantSplit/>
          <w:tblHeader w:val="off"/>
        </w:trPr>
        <w:tc>
          <w:tcPr>
            <w:tcW w:type="dxa" w:w="1032"/>
            <w:vAlign w:val="top"/>
          </w:tcPr>
          <w:p>
            <w:pPr>
              <w:spacing w:after="0" w:before="0" w:line="264"/>
              <w:jc w:val="left"/>
            </w:pPr>
            <w:r>
              <w:rPr>
                <w:rFonts w:ascii="Arial" w:eastAsia="宋体" w:hAnsi="Arial"/>
                <w:b w:val="false"/>
                <w:bCs w:val="false"/>
                <w:color w:val="222A33"/>
                <w:sz w:val="17"/>
                <w:szCs w:val="17"/>
              </w:rPr>
              <w:t xml:space="preserve">9</w:t>
            </w:r>
          </w:p>
        </w:tc>
        <w:tc>
          <w:tcPr>
            <w:tcW w:type="dxa" w:w="1518"/>
            <w:vAlign w:val="top"/>
          </w:tcPr>
          <w:p>
            <w:pPr>
              <w:spacing w:after="0" w:before="0" w:line="264"/>
              <w:jc w:val="left"/>
            </w:pPr>
            <w:r>
              <w:rPr>
                <w:rFonts w:ascii="Arial" w:eastAsia="宋体" w:hAnsi="Arial"/>
                <w:b w:val="false"/>
                <w:bCs w:val="false"/>
                <w:color w:val="222A33"/>
                <w:sz w:val="17"/>
                <w:szCs w:val="17"/>
              </w:rPr>
              <w:t xml:space="preserve">炙甘草</w:t>
            </w:r>
          </w:p>
        </w:tc>
        <w:tc>
          <w:tcPr>
            <w:tcW w:type="dxa" w:w="1683"/>
            <w:vAlign w:val="top"/>
          </w:tcPr>
          <w:p>
            <w:pPr>
              <w:spacing w:after="0" w:before="0" w:line="264"/>
              <w:jc w:val="left"/>
            </w:pPr>
            <w:r>
              <w:rPr>
                <w:rFonts w:ascii="Arial" w:eastAsia="宋体" w:hAnsi="Arial"/>
                <w:b w:val="false"/>
                <w:bCs w:val="false"/>
                <w:color w:val="222A33"/>
                <w:sz w:val="17"/>
                <w:szCs w:val="17"/>
              </w:rPr>
              <w:t xml:space="preserve">炙甘草</w:t>
            </w:r>
          </w:p>
        </w:tc>
        <w:tc>
          <w:tcPr>
            <w:tcW w:type="dxa" w:w="1459"/>
            <w:vAlign w:val="top"/>
          </w:tcPr>
          <w:p>
            <w:pPr>
              <w:spacing w:after="0" w:before="0" w:line="264"/>
              <w:jc w:val="left"/>
            </w:pPr>
            <w:r>
              <w:rPr>
                <w:rFonts w:ascii="Arial" w:eastAsia="宋体" w:hAnsi="Arial"/>
                <w:b w:val="false"/>
                <w:bCs w:val="false"/>
                <w:color w:val="222A33"/>
                <w:sz w:val="17"/>
                <w:szCs w:val="17"/>
              </w:rPr>
              <w:t xml:space="preserve">6 g</w:t>
            </w:r>
          </w:p>
        </w:tc>
        <w:tc>
          <w:tcPr>
            <w:tcW w:type="dxa" w:w="1602"/>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032"/>
            <w:shd w:fill="F5F8FC" w:color="auto" w:val="clear"/>
            <w:vAlign w:val="top"/>
          </w:tcPr>
          <w:p>
            <w:pPr>
              <w:spacing w:after="0" w:before="0" w:line="264"/>
              <w:jc w:val="left"/>
            </w:pPr>
            <w:r>
              <w:rPr>
                <w:rFonts w:ascii="Arial" w:eastAsia="宋体" w:hAnsi="Arial"/>
                <w:b w:val="false"/>
                <w:bCs w:val="false"/>
                <w:color w:val="222A33"/>
                <w:sz w:val="17"/>
                <w:szCs w:val="17"/>
              </w:rPr>
              <w:t xml:space="preserve">10</w:t>
            </w:r>
          </w:p>
        </w:tc>
        <w:tc>
          <w:tcPr>
            <w:tcW w:type="dxa" w:w="1518"/>
            <w:shd w:fill="F5F8FC" w:color="auto" w:val="clear"/>
            <w:vAlign w:val="top"/>
          </w:tcPr>
          <w:p>
            <w:pPr>
              <w:spacing w:after="0" w:before="0" w:line="264"/>
              <w:jc w:val="left"/>
            </w:pPr>
            <w:r>
              <w:rPr>
                <w:rFonts w:ascii="Arial" w:eastAsia="宋体" w:hAnsi="Arial"/>
                <w:b w:val="false"/>
                <w:bCs w:val="false"/>
                <w:color w:val="222A33"/>
                <w:sz w:val="17"/>
                <w:szCs w:val="17"/>
              </w:rPr>
              <w:t xml:space="preserve">生姜</w:t>
            </w:r>
          </w:p>
        </w:tc>
        <w:tc>
          <w:tcPr>
            <w:tcW w:type="dxa" w:w="1683"/>
            <w:shd w:fill="F5F8FC" w:color="auto" w:val="clear"/>
            <w:vAlign w:val="top"/>
          </w:tcPr>
          <w:p>
            <w:pPr>
              <w:spacing w:after="0" w:before="0" w:line="264"/>
              <w:jc w:val="left"/>
            </w:pPr>
            <w:r>
              <w:rPr>
                <w:rFonts w:ascii="Arial" w:eastAsia="宋体" w:hAnsi="Arial"/>
                <w:b w:val="false"/>
                <w:bCs w:val="false"/>
                <w:color w:val="222A33"/>
                <w:sz w:val="17"/>
                <w:szCs w:val="17"/>
              </w:rPr>
              <w:t xml:space="preserve">生姜</w:t>
            </w:r>
          </w:p>
        </w:tc>
        <w:tc>
          <w:tcPr>
            <w:tcW w:type="dxa" w:w="1459"/>
            <w:shd w:fill="F5F8FC" w:color="auto" w:val="clear"/>
            <w:vAlign w:val="top"/>
          </w:tcPr>
          <w:p>
            <w:pPr>
              <w:spacing w:after="0" w:before="0" w:line="264"/>
              <w:jc w:val="left"/>
            </w:pPr>
            <w:r>
              <w:rPr>
                <w:rFonts w:ascii="Arial" w:eastAsia="宋体" w:hAnsi="Arial"/>
                <w:b w:val="false"/>
                <w:bCs w:val="false"/>
                <w:color w:val="222A33"/>
                <w:sz w:val="17"/>
                <w:szCs w:val="17"/>
              </w:rPr>
              <w:t xml:space="preserve">3 片</w:t>
            </w:r>
          </w:p>
        </w:tc>
        <w:tc>
          <w:tcPr>
            <w:tcW w:type="dxa" w:w="1602"/>
            <w:shd w:fill="F5F8FC" w:color="auto" w:val="clear"/>
            <w:vAlign w:val="top"/>
          </w:tcPr>
          <w:p>
            <w:pPr>
              <w:spacing w:after="0" w:before="0" w:line="264"/>
              <w:jc w:val="left"/>
            </w:pPr>
            <w:r>
              <w:rPr>
                <w:rFonts w:ascii="Arial" w:eastAsia="宋体" w:hAnsi="Arial"/>
                <w:b w:val="false"/>
                <w:bCs w:val="false"/>
                <w:color w:val="222A33"/>
                <w:sz w:val="17"/>
                <w:szCs w:val="17"/>
              </w:rPr>
              <w:t xml:space="preserve">同煎</w:t>
            </w:r>
          </w:p>
        </w:tc>
        <w:tc>
          <w:tcPr>
            <w:tcW w:type="dxa" w:w="1890"/>
            <w:shd w:fill="F5F8FC" w:color="auto" w:val="clear"/>
            <w:vAlign w:val="top"/>
          </w:tcPr>
          <w:p>
            <w:pPr>
              <w:spacing w:after="0" w:before="0" w:line="264"/>
              <w:jc w:val="left"/>
            </w:pPr>
            <w:r>
              <w:rPr>
                <w:rFonts w:ascii="Arial" w:eastAsia="宋体" w:hAnsi="Arial"/>
                <w:b w:val="false"/>
                <w:bCs w:val="false"/>
                <w:color w:val="222A33"/>
                <w:sz w:val="17"/>
                <w:szCs w:val="17"/>
              </w:rPr>
              <w:t xml:space="preserve">约 9 g</w:t>
            </w:r>
          </w:p>
        </w:tc>
      </w:tr>
    </w:tbl>
    <w:p>
      <w:pPr>
        <w:spacing w:after="0" w:before="0" w:line="80"/>
      </w:pPr>
    </w:p>
    <w:p>
      <w:pPr>
        <w:pStyle w:val="Heading2"/>
        <w:keepNext/>
        <w:pBdr>
          <w:bottom w:val="single" w:color="D6E3F0" w:sz="6" w:space="2"/>
        </w:pBdr>
      </w:pPr>
      <w:bookmarkStart w:name="_Toc7" w:id="7"/>
      <w:r>
        <w:rPr>
          <w:rFonts w:ascii="Arial" w:eastAsia="黑体" w:hAnsi="Arial"/>
          <w:b/>
          <w:bCs/>
          <w:color w:val="2E5C8A"/>
          <w:sz w:val="28"/>
          <w:szCs w:val="28"/>
        </w:rPr>
        <w:t xml:space="preserve">2.2 用法用量</w:t>
      </w:r>
      <w:bookmarkEnd w:id="7"/>
    </w:p>
    <w:p>
      <w:pPr>
        <w:spacing w:after="120" w:before="0" w:line="360"/>
        <w:ind w:firstLine="420"/>
        <w:jc w:val="both"/>
      </w:pPr>
      <w:r>
        <w:rPr>
          <w:rFonts w:ascii="Times New Roman" w:eastAsia="宋体" w:hAnsi="Times New Roman"/>
          <w:b w:val="false"/>
          <w:bCs w:val="false"/>
          <w:color w:val="222A33"/>
          <w:sz w:val="21"/>
          <w:szCs w:val="21"/>
        </w:rPr>
        <w:t xml:space="preserve">水煎服，每日 1 剂，分 2 次温服；共 5 剂。医师签名：孙某某（化名）；开具日期：2026-10-28（示例）。</w:t>
      </w:r>
    </w:p>
    <w:p>
      <w:pPr>
        <w:pStyle w:val="Heading1"/>
        <w:keepNext/>
        <w:pageBreakBefore/>
        <w:pBdr>
          <w:bottom w:val="single" w:color="B7CCE3" w:sz="8" w:space="4"/>
        </w:pBdr>
      </w:pPr>
      <w:bookmarkStart w:name="_Toc8" w:id="8"/>
      <w:r>
        <w:rPr>
          <w:rFonts w:ascii="Arial" w:eastAsia="黑体" w:hAnsi="Arial"/>
          <w:b/>
          <w:bCs/>
          <w:color w:val="1F3A5F"/>
          <w:sz w:val="36"/>
          <w:szCs w:val="36"/>
        </w:rPr>
        <w:t xml:space="preserve">三、药师审核</w:t>
      </w:r>
      <w:bookmarkEnd w:id="8"/>
    </w:p>
    <w:p>
      <w:pPr>
        <w:pStyle w:val="Heading2"/>
        <w:keepNext/>
        <w:pBdr>
          <w:bottom w:val="single" w:color="D6E3F0" w:sz="6" w:space="2"/>
        </w:pBdr>
      </w:pPr>
      <w:bookmarkStart w:name="_Toc9" w:id="9"/>
      <w:r>
        <w:rPr>
          <w:rFonts w:ascii="Arial" w:eastAsia="黑体" w:hAnsi="Arial"/>
          <w:b/>
          <w:bCs/>
          <w:color w:val="2E5C8A"/>
          <w:sz w:val="28"/>
          <w:szCs w:val="28"/>
        </w:rPr>
        <w:t xml:space="preserve">3.1 审核结论</w:t>
      </w:r>
      <w:bookmarkEnd w:id="9"/>
    </w:p>
    <w:p>
      <w:pPr>
        <w:spacing w:after="120" w:before="0" w:line="360"/>
        <w:ind w:firstLine="420"/>
        <w:jc w:val="both"/>
      </w:pPr>
      <w:r>
        <w:rPr>
          <w:rFonts w:ascii="Times New Roman" w:eastAsia="宋体" w:hAnsi="Times New Roman"/>
          <w:b/>
          <w:bCs/>
          <w:color w:val="222A33"/>
          <w:sz w:val="21"/>
          <w:szCs w:val="21"/>
        </w:rPr>
        <w:t xml:space="preserve">不通过。</w:t>
      </w:r>
      <w:r>
        <w:rPr>
          <w:rFonts w:ascii="Times New Roman" w:eastAsia="宋体" w:hAnsi="Times New Roman"/>
          <w:b w:val="false"/>
          <w:bCs w:val="false"/>
          <w:color w:val="222A33"/>
          <w:sz w:val="21"/>
          <w:szCs w:val="21"/>
        </w:rPr>
        <w:t xml:space="preserve"> 处方同时存在十九畏配伍、毒性饮片超量及特殊煎法缺失三类问题，不予调配，退回处方医师。医师沟通后坚持原方，最终按流程拒绝调配并上报。</w:t>
      </w:r>
    </w:p>
    <w:p>
      <w:pPr>
        <w:pStyle w:val="Heading2"/>
        <w:keepNext/>
        <w:pBdr>
          <w:bottom w:val="single" w:color="D6E3F0" w:sz="6" w:space="2"/>
        </w:pBdr>
      </w:pPr>
      <w:bookmarkStart w:name="_Toc10" w:id="10"/>
      <w:r>
        <w:rPr>
          <w:rFonts w:ascii="Arial" w:eastAsia="黑体" w:hAnsi="Arial"/>
          <w:b/>
          <w:bCs/>
          <w:color w:val="2E5C8A"/>
          <w:sz w:val="28"/>
          <w:szCs w:val="28"/>
        </w:rPr>
        <w:t xml:space="preserve">3.2 审核清单</w:t>
      </w:r>
      <w:bookmarkEnd w:id="10"/>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2512"/>
        <w:gridCol w:w="2143"/>
        <w:gridCol w:w="4529"/>
      </w:tblGrid>
      <w:tr>
        <w:trPr>
          <w:cantSplit/>
          <w:tblHeader/>
        </w:trPr>
        <w:tc>
          <w:tcPr>
            <w:tcW w:type="dxa" w:w="2512"/>
            <w:shd w:fill="DCE9F7" w:color="auto" w:val="clear"/>
            <w:vAlign w:val="center"/>
          </w:tcPr>
          <w:p>
            <w:pPr>
              <w:spacing w:after="0" w:before="0" w:line="264"/>
              <w:jc w:val="center"/>
            </w:pPr>
            <w:r>
              <w:rPr>
                <w:rFonts w:ascii="Arial" w:eastAsia="宋体" w:hAnsi="Arial"/>
                <w:b/>
                <w:bCs/>
                <w:color w:val="1F3A5F"/>
                <w:sz w:val="18"/>
                <w:szCs w:val="18"/>
              </w:rPr>
              <w:t xml:space="preserve">审核维度</w:t>
            </w:r>
          </w:p>
        </w:tc>
        <w:tc>
          <w:tcPr>
            <w:tcW w:type="dxa" w:w="2143"/>
            <w:shd w:fill="DCE9F7" w:color="auto" w:val="clear"/>
            <w:vAlign w:val="center"/>
          </w:tcPr>
          <w:p>
            <w:pPr>
              <w:spacing w:after="0" w:before="0" w:line="264"/>
              <w:jc w:val="center"/>
            </w:pPr>
            <w:r>
              <w:rPr>
                <w:rFonts w:ascii="Arial" w:eastAsia="宋体" w:hAnsi="Arial"/>
                <w:b/>
                <w:bCs/>
                <w:color w:val="1F3A5F"/>
                <w:sz w:val="18"/>
                <w:szCs w:val="18"/>
              </w:rPr>
              <w:t xml:space="preserve">结果</w:t>
            </w:r>
          </w:p>
        </w:tc>
        <w:tc>
          <w:tcPr>
            <w:tcW w:type="dxa" w:w="4529"/>
            <w:shd w:fill="DCE9F7" w:color="auto" w:val="clear"/>
            <w:vAlign w:val="center"/>
          </w:tcPr>
          <w:p>
            <w:pPr>
              <w:spacing w:after="0" w:before="0" w:line="264"/>
              <w:jc w:val="center"/>
            </w:pPr>
            <w:r>
              <w:rPr>
                <w:rFonts w:ascii="Arial" w:eastAsia="宋体" w:hAnsi="Arial"/>
                <w:b/>
                <w:bCs/>
                <w:color w:val="1F3A5F"/>
                <w:sz w:val="18"/>
                <w:szCs w:val="18"/>
              </w:rPr>
              <w:t xml:space="preserve">说明</w:t>
            </w:r>
          </w:p>
        </w:tc>
      </w:tr>
      <w:tr>
        <w:trPr>
          <w:cantSplit/>
          <w:tblHeader w:val="off"/>
        </w:trPr>
        <w:tc>
          <w:tcPr>
            <w:tcW w:type="dxa" w:w="2512"/>
            <w:vAlign w:val="top"/>
          </w:tcPr>
          <w:p>
            <w:pPr>
              <w:spacing w:after="0" w:before="0" w:line="264"/>
              <w:jc w:val="left"/>
            </w:pPr>
            <w:r>
              <w:rPr>
                <w:rFonts w:ascii="Arial" w:eastAsia="宋体" w:hAnsi="Arial"/>
                <w:b w:val="false"/>
                <w:bCs w:val="false"/>
                <w:color w:val="222A33"/>
                <w:sz w:val="18"/>
                <w:szCs w:val="18"/>
              </w:rPr>
              <w:t xml:space="preserve">处方合法性</w:t>
            </w:r>
          </w:p>
        </w:tc>
        <w:tc>
          <w:tcPr>
            <w:tcW w:type="dxa" w:w="2143"/>
            <w:vAlign w:val="top"/>
          </w:tcPr>
          <w:p>
            <w:pPr>
              <w:spacing w:after="0" w:before="0" w:line="264"/>
              <w:jc w:val="left"/>
            </w:pPr>
            <w:r>
              <w:rPr>
                <w:rFonts w:ascii="Arial" w:eastAsia="宋体" w:hAnsi="Arial"/>
                <w:b w:val="false"/>
                <w:bCs w:val="false"/>
                <w:color w:val="222A33"/>
                <w:sz w:val="18"/>
                <w:szCs w:val="18"/>
              </w:rPr>
              <w:t xml:space="preserve">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医师签名、日期、诊断齐全</w:t>
            </w:r>
          </w:p>
        </w:tc>
      </w:tr>
      <w:tr>
        <w:trPr>
          <w:cantSplit/>
          <w:tblHeader w:val="off"/>
        </w:trPr>
        <w:tc>
          <w:tcPr>
            <w:tcW w:type="dxa" w:w="2512"/>
            <w:shd w:fill="F5F8FC" w:color="auto" w:val="clear"/>
            <w:vAlign w:val="top"/>
          </w:tcPr>
          <w:p>
            <w:pPr>
              <w:spacing w:after="0" w:before="0" w:line="264"/>
              <w:jc w:val="left"/>
            </w:pPr>
            <w:r>
              <w:rPr>
                <w:rFonts w:ascii="Arial" w:eastAsia="宋体" w:hAnsi="Arial"/>
                <w:b w:val="false"/>
                <w:bCs w:val="false"/>
                <w:color w:val="222A33"/>
                <w:sz w:val="18"/>
                <w:szCs w:val="18"/>
              </w:rPr>
              <w:t xml:space="preserve">药品名称与规格</w:t>
            </w:r>
          </w:p>
        </w:tc>
        <w:tc>
          <w:tcPr>
            <w:tcW w:type="dxa" w:w="2143"/>
            <w:shd w:fill="F5F8FC" w:color="auto" w:val="clear"/>
            <w:vAlign w:val="top"/>
          </w:tcPr>
          <w:p>
            <w:pPr>
              <w:spacing w:after="0" w:before="0" w:line="264"/>
              <w:jc w:val="left"/>
            </w:pPr>
            <w:r>
              <w:rPr>
                <w:rFonts w:ascii="Arial" w:eastAsia="宋体" w:hAnsi="Arial"/>
                <w:b w:val="false"/>
                <w:bCs w:val="false"/>
                <w:color w:val="222A33"/>
                <w:sz w:val="18"/>
                <w:szCs w:val="18"/>
              </w:rPr>
              <w:t xml:space="preserve">通过</w:t>
            </w:r>
          </w:p>
        </w:tc>
        <w:tc>
          <w:tcPr>
            <w:tcW w:type="dxa" w:w="4529"/>
            <w:shd w:fill="F5F8FC" w:color="auto" w:val="clear"/>
            <w:vAlign w:val="top"/>
          </w:tcPr>
          <w:p>
            <w:pPr>
              <w:spacing w:after="0" w:before="0" w:line="264"/>
              <w:jc w:val="left"/>
            </w:pPr>
            <w:r>
              <w:rPr>
                <w:rFonts w:ascii="Arial" w:eastAsia="宋体" w:hAnsi="Arial"/>
                <w:b w:val="false"/>
                <w:bCs w:val="false"/>
                <w:color w:val="222A33"/>
                <w:sz w:val="18"/>
                <w:szCs w:val="18"/>
              </w:rPr>
              <w:t xml:space="preserve">饮片名称、炮制规格可识别</w:t>
            </w:r>
          </w:p>
        </w:tc>
      </w:tr>
      <w:tr>
        <w:trPr>
          <w:cantSplit/>
          <w:tblHeader w:val="off"/>
        </w:trPr>
        <w:tc>
          <w:tcPr>
            <w:tcW w:type="dxa" w:w="2512"/>
            <w:vAlign w:val="top"/>
          </w:tcPr>
          <w:p>
            <w:pPr>
              <w:spacing w:after="0" w:before="0" w:line="264"/>
              <w:jc w:val="left"/>
            </w:pPr>
            <w:r>
              <w:rPr>
                <w:rFonts w:ascii="Arial" w:eastAsia="宋体" w:hAnsi="Arial"/>
                <w:b w:val="false"/>
                <w:bCs w:val="false"/>
                <w:color w:val="222A33"/>
                <w:sz w:val="18"/>
                <w:szCs w:val="18"/>
              </w:rPr>
              <w:t xml:space="preserve">适应证</w:t>
            </w:r>
          </w:p>
        </w:tc>
        <w:tc>
          <w:tcPr>
            <w:tcW w:type="dxa" w:w="2143"/>
            <w:vAlign w:val="top"/>
          </w:tcPr>
          <w:p>
            <w:pPr>
              <w:spacing w:after="0" w:before="0" w:line="264"/>
              <w:jc w:val="left"/>
            </w:pPr>
            <w:r>
              <w:rPr>
                <w:rFonts w:ascii="Arial" w:eastAsia="宋体" w:hAnsi="Arial"/>
                <w:b w:val="false"/>
                <w:bCs w:val="false"/>
                <w:color w:val="222A33"/>
                <w:sz w:val="18"/>
                <w:szCs w:val="18"/>
              </w:rPr>
              <w:t xml:space="preserve">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益气健脾、温中散寒、活血止痛与诊断方向相符</w:t>
            </w:r>
          </w:p>
        </w:tc>
      </w:tr>
      <w:tr>
        <w:trPr>
          <w:cantSplit/>
          <w:tblHeader w:val="off"/>
        </w:trPr>
        <w:tc>
          <w:tcPr>
            <w:tcW w:type="dxa" w:w="2512"/>
            <w:shd w:fill="F5F8FC" w:color="auto" w:val="clear"/>
            <w:vAlign w:val="top"/>
          </w:tcPr>
          <w:p>
            <w:pPr>
              <w:spacing w:after="0" w:before="0" w:line="264"/>
              <w:jc w:val="left"/>
            </w:pPr>
            <w:r>
              <w:rPr>
                <w:rFonts w:ascii="Arial" w:eastAsia="宋体" w:hAnsi="Arial"/>
                <w:b w:val="false"/>
                <w:bCs w:val="false"/>
                <w:color w:val="222A33"/>
                <w:sz w:val="18"/>
                <w:szCs w:val="18"/>
              </w:rPr>
              <w:t xml:space="preserve">剂量</w:t>
            </w:r>
          </w:p>
        </w:tc>
        <w:tc>
          <w:tcPr>
            <w:tcW w:type="dxa" w:w="2143"/>
            <w:shd w:fill="F5F8FC" w:color="auto" w:val="clear"/>
            <w:vAlign w:val="top"/>
          </w:tcPr>
          <w:p>
            <w:pPr>
              <w:spacing w:after="0" w:before="0" w:line="264"/>
              <w:jc w:val="left"/>
            </w:pPr>
            <w:r>
              <w:rPr>
                <w:rFonts w:ascii="Arial" w:eastAsia="宋体" w:hAnsi="Arial"/>
                <w:b/>
                <w:bCs/>
                <w:color w:val="222A33"/>
                <w:sz w:val="18"/>
                <w:szCs w:val="18"/>
              </w:rPr>
              <w:t xml:space="preserve">不通过</w:t>
            </w:r>
          </w:p>
        </w:tc>
        <w:tc>
          <w:tcPr>
            <w:tcW w:type="dxa" w:w="4529"/>
            <w:shd w:fill="F5F8FC" w:color="auto" w:val="clear"/>
            <w:vAlign w:val="top"/>
          </w:tcPr>
          <w:p>
            <w:pPr>
              <w:spacing w:after="0" w:before="0" w:line="264"/>
              <w:jc w:val="left"/>
            </w:pPr>
            <w:r>
              <w:rPr>
                <w:rFonts w:ascii="Arial" w:eastAsia="宋体" w:hAnsi="Arial"/>
                <w:b w:val="false"/>
                <w:bCs w:val="false"/>
                <w:color w:val="222A33"/>
                <w:sz w:val="18"/>
                <w:szCs w:val="18"/>
              </w:rPr>
              <w:t xml:space="preserve">吴茱萸 10 g 超过药典 2～5 g 上限</w:t>
            </w:r>
          </w:p>
        </w:tc>
      </w:tr>
      <w:tr>
        <w:trPr>
          <w:cantSplit/>
          <w:tblHeader w:val="off"/>
        </w:trPr>
        <w:tc>
          <w:tcPr>
            <w:tcW w:type="dxa" w:w="2512"/>
            <w:vAlign w:val="top"/>
          </w:tcPr>
          <w:p>
            <w:pPr>
              <w:spacing w:after="0" w:before="0" w:line="264"/>
              <w:jc w:val="left"/>
            </w:pPr>
            <w:r>
              <w:rPr>
                <w:rFonts w:ascii="Arial" w:eastAsia="宋体" w:hAnsi="Arial"/>
                <w:b w:val="false"/>
                <w:bCs w:val="false"/>
                <w:color w:val="222A33"/>
                <w:sz w:val="18"/>
                <w:szCs w:val="18"/>
              </w:rPr>
              <w:t xml:space="preserve">配伍禁忌</w:t>
            </w:r>
          </w:p>
        </w:tc>
        <w:tc>
          <w:tcPr>
            <w:tcW w:type="dxa" w:w="2143"/>
            <w:vAlign w:val="top"/>
          </w:tcPr>
          <w:p>
            <w:pPr>
              <w:spacing w:after="0" w:before="0" w:line="264"/>
              <w:jc w:val="left"/>
            </w:pPr>
            <w:r>
              <w:rPr>
                <w:rFonts w:ascii="Arial" w:eastAsia="宋体" w:hAnsi="Arial"/>
                <w:b/>
                <w:bCs/>
                <w:color w:val="222A33"/>
                <w:sz w:val="18"/>
                <w:szCs w:val="18"/>
              </w:rPr>
              <w:t xml:space="preserve">不通过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人参 9 g 与五灵脂 10 g 同方，属十九畏</w:t>
            </w:r>
          </w:p>
        </w:tc>
      </w:tr>
      <w:tr>
        <w:trPr>
          <w:cantSplit/>
          <w:tblHeader w:val="off"/>
        </w:trPr>
        <w:tc>
          <w:tcPr>
            <w:tcW w:type="dxa" w:w="2512"/>
            <w:shd w:fill="F5F8FC" w:color="auto" w:val="clear"/>
            <w:vAlign w:val="top"/>
          </w:tcPr>
          <w:p>
            <w:pPr>
              <w:spacing w:after="0" w:before="0" w:line="264"/>
              <w:jc w:val="left"/>
            </w:pPr>
            <w:r>
              <w:rPr>
                <w:rFonts w:ascii="Arial" w:eastAsia="宋体" w:hAnsi="Arial"/>
                <w:b w:val="false"/>
                <w:bCs w:val="false"/>
                <w:color w:val="222A33"/>
                <w:sz w:val="18"/>
                <w:szCs w:val="18"/>
              </w:rPr>
              <w:t xml:space="preserve">妊娠 / 哺乳禁忌</w:t>
            </w:r>
          </w:p>
        </w:tc>
        <w:tc>
          <w:tcPr>
            <w:tcW w:type="dxa" w:w="2143"/>
            <w:shd w:fill="F5F8FC" w:color="auto" w:val="clear"/>
            <w:vAlign w:val="top"/>
          </w:tcPr>
          <w:p>
            <w:pPr>
              <w:spacing w:after="0" w:before="0" w:line="264"/>
              <w:jc w:val="left"/>
            </w:pPr>
            <w:r>
              <w:rPr>
                <w:rFonts w:ascii="Arial" w:eastAsia="宋体" w:hAnsi="Arial"/>
                <w:b w:val="false"/>
                <w:bCs w:val="false"/>
                <w:color w:val="222A33"/>
                <w:sz w:val="18"/>
                <w:szCs w:val="18"/>
              </w:rPr>
              <w:t xml:space="preserve">不适用</w:t>
            </w:r>
          </w:p>
        </w:tc>
        <w:tc>
          <w:tcPr>
            <w:tcW w:type="dxa" w:w="4529"/>
            <w:shd w:fill="F5F8FC" w:color="auto" w:val="clear"/>
            <w:vAlign w:val="top"/>
          </w:tcPr>
          <w:p>
            <w:pPr>
              <w:spacing w:after="0" w:before="0" w:line="264"/>
              <w:jc w:val="left"/>
            </w:pPr>
            <w:r>
              <w:rPr>
                <w:rFonts w:ascii="Arial" w:eastAsia="宋体" w:hAnsi="Arial"/>
                <w:b w:val="false"/>
                <w:bCs w:val="false"/>
                <w:color w:val="222A33"/>
                <w:sz w:val="18"/>
                <w:szCs w:val="18"/>
              </w:rPr>
              <w:t xml:space="preserve">男性患者</w:t>
            </w:r>
          </w:p>
        </w:tc>
      </w:tr>
      <w:tr>
        <w:trPr>
          <w:cantSplit/>
          <w:tblHeader w:val="off"/>
        </w:trPr>
        <w:tc>
          <w:tcPr>
            <w:tcW w:type="dxa" w:w="2512"/>
            <w:vAlign w:val="top"/>
          </w:tcPr>
          <w:p>
            <w:pPr>
              <w:spacing w:after="0" w:before="0" w:line="264"/>
              <w:jc w:val="left"/>
            </w:pPr>
            <w:r>
              <w:rPr>
                <w:rFonts w:ascii="Arial" w:eastAsia="宋体" w:hAnsi="Arial"/>
                <w:b w:val="false"/>
                <w:bCs w:val="false"/>
                <w:color w:val="222A33"/>
                <w:sz w:val="18"/>
                <w:szCs w:val="18"/>
              </w:rPr>
              <w:t xml:space="preserve">重复用药</w:t>
            </w:r>
          </w:p>
        </w:tc>
        <w:tc>
          <w:tcPr>
            <w:tcW w:type="dxa" w:w="2143"/>
            <w:vAlign w:val="top"/>
          </w:tcPr>
          <w:p>
            <w:pPr>
              <w:spacing w:after="0" w:before="0" w:line="264"/>
              <w:jc w:val="left"/>
            </w:pPr>
            <w:r>
              <w:rPr>
                <w:rFonts w:ascii="Arial" w:eastAsia="宋体" w:hAnsi="Arial"/>
                <w:b w:val="false"/>
                <w:bCs w:val="false"/>
                <w:color w:val="222A33"/>
                <w:sz w:val="18"/>
                <w:szCs w:val="18"/>
              </w:rPr>
              <w:t xml:space="preserve">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未发现同类药物重复</w:t>
            </w:r>
          </w:p>
        </w:tc>
      </w:tr>
      <w:tr>
        <w:trPr>
          <w:cantSplit/>
          <w:tblHeader w:val="off"/>
        </w:trPr>
        <w:tc>
          <w:tcPr>
            <w:tcW w:type="dxa" w:w="2512"/>
            <w:shd w:fill="F5F8FC" w:color="auto" w:val="clear"/>
            <w:vAlign w:val="top"/>
          </w:tcPr>
          <w:p>
            <w:pPr>
              <w:spacing w:after="0" w:before="0" w:line="264"/>
              <w:jc w:val="left"/>
            </w:pPr>
            <w:r>
              <w:rPr>
                <w:rFonts w:ascii="Arial" w:eastAsia="宋体" w:hAnsi="Arial"/>
                <w:b w:val="false"/>
                <w:bCs w:val="false"/>
                <w:color w:val="222A33"/>
                <w:sz w:val="18"/>
                <w:szCs w:val="18"/>
              </w:rPr>
              <w:t xml:space="preserve">药物相互作用</w:t>
            </w:r>
          </w:p>
        </w:tc>
        <w:tc>
          <w:tcPr>
            <w:tcW w:type="dxa" w:w="2143"/>
            <w:shd w:fill="F5F8FC" w:color="auto" w:val="clear"/>
            <w:vAlign w:val="top"/>
          </w:tcPr>
          <w:p>
            <w:pPr>
              <w:spacing w:after="0" w:before="0" w:line="264"/>
              <w:jc w:val="left"/>
            </w:pPr>
            <w:r>
              <w:rPr>
                <w:rFonts w:ascii="Arial" w:eastAsia="宋体" w:hAnsi="Arial"/>
                <w:b w:val="false"/>
                <w:bCs w:val="false"/>
                <w:color w:val="222A33"/>
                <w:sz w:val="18"/>
                <w:szCs w:val="18"/>
              </w:rPr>
              <w:t xml:space="preserve">需关注</w:t>
            </w:r>
          </w:p>
        </w:tc>
        <w:tc>
          <w:tcPr>
            <w:tcW w:type="dxa" w:w="4529"/>
            <w:shd w:fill="F5F8FC" w:color="auto" w:val="clear"/>
            <w:vAlign w:val="top"/>
          </w:tcPr>
          <w:p>
            <w:pPr>
              <w:spacing w:after="0" w:before="0" w:line="264"/>
              <w:jc w:val="left"/>
            </w:pPr>
            <w:r>
              <w:rPr>
                <w:rFonts w:ascii="Arial" w:eastAsia="宋体" w:hAnsi="Arial"/>
                <w:b w:val="false"/>
                <w:bCs w:val="false"/>
                <w:color w:val="222A33"/>
                <w:sz w:val="18"/>
                <w:szCs w:val="18"/>
              </w:rPr>
              <w:t xml:space="preserve">炙甘草与降压药、利尿剂、地高辛等长期合用需监测</w:t>
            </w:r>
          </w:p>
        </w:tc>
      </w:tr>
      <w:tr>
        <w:trPr>
          <w:cantSplit/>
          <w:tblHeader w:val="off"/>
        </w:trPr>
        <w:tc>
          <w:tcPr>
            <w:tcW w:type="dxa" w:w="2512"/>
            <w:vAlign w:val="top"/>
          </w:tcPr>
          <w:p>
            <w:pPr>
              <w:spacing w:after="0" w:before="0" w:line="264"/>
              <w:jc w:val="left"/>
            </w:pPr>
            <w:r>
              <w:rPr>
                <w:rFonts w:ascii="Arial" w:eastAsia="宋体" w:hAnsi="Arial"/>
                <w:b w:val="false"/>
                <w:bCs w:val="false"/>
                <w:color w:val="222A33"/>
                <w:sz w:val="18"/>
                <w:szCs w:val="18"/>
              </w:rPr>
              <w:t xml:space="preserve">特殊煎法</w:t>
            </w:r>
          </w:p>
        </w:tc>
        <w:tc>
          <w:tcPr>
            <w:tcW w:type="dxa" w:w="2143"/>
            <w:vAlign w:val="top"/>
          </w:tcPr>
          <w:p>
            <w:pPr>
              <w:spacing w:after="0" w:before="0" w:line="264"/>
              <w:jc w:val="left"/>
            </w:pPr>
            <w:r>
              <w:rPr>
                <w:rFonts w:ascii="Arial" w:eastAsia="宋体" w:hAnsi="Arial"/>
                <w:b/>
                <w:bCs/>
                <w:color w:val="222A33"/>
                <w:sz w:val="18"/>
                <w:szCs w:val="18"/>
              </w:rPr>
              <w:t xml:space="preserve">不通过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人参未另煎，五灵脂未包煎</w:t>
            </w:r>
          </w:p>
        </w:tc>
      </w:tr>
      <w:tr>
        <w:trPr>
          <w:cantSplit/>
          <w:tblHeader w:val="off"/>
        </w:trPr>
        <w:tc>
          <w:tcPr>
            <w:tcW w:type="dxa" w:w="2512"/>
            <w:shd w:fill="F5F8FC" w:color="auto" w:val="clear"/>
            <w:vAlign w:val="top"/>
          </w:tcPr>
          <w:p>
            <w:pPr>
              <w:spacing w:after="0" w:before="0" w:line="264"/>
              <w:jc w:val="left"/>
            </w:pPr>
            <w:r>
              <w:rPr>
                <w:rFonts w:ascii="Arial" w:eastAsia="宋体" w:hAnsi="Arial"/>
                <w:b w:val="false"/>
                <w:bCs w:val="false"/>
                <w:color w:val="222A33"/>
                <w:sz w:val="18"/>
                <w:szCs w:val="18"/>
              </w:rPr>
              <w:t xml:space="preserve">疗程与剂数</w:t>
            </w:r>
          </w:p>
        </w:tc>
        <w:tc>
          <w:tcPr>
            <w:tcW w:type="dxa" w:w="2143"/>
            <w:shd w:fill="F5F8FC" w:color="auto" w:val="clear"/>
            <w:vAlign w:val="top"/>
          </w:tcPr>
          <w:p>
            <w:pPr>
              <w:spacing w:after="0" w:before="0" w:line="264"/>
              <w:jc w:val="left"/>
            </w:pPr>
            <w:r>
              <w:rPr>
                <w:rFonts w:ascii="Arial" w:eastAsia="宋体" w:hAnsi="Arial"/>
                <w:b w:val="false"/>
                <w:bCs w:val="false"/>
                <w:color w:val="222A33"/>
                <w:sz w:val="18"/>
                <w:szCs w:val="18"/>
              </w:rPr>
              <w:t xml:space="preserve">通过</w:t>
            </w:r>
          </w:p>
        </w:tc>
        <w:tc>
          <w:tcPr>
            <w:tcW w:type="dxa" w:w="4529"/>
            <w:shd w:fill="F5F8FC" w:color="auto" w:val="clear"/>
            <w:vAlign w:val="top"/>
          </w:tcPr>
          <w:p>
            <w:pPr>
              <w:spacing w:after="0" w:before="0" w:line="264"/>
              <w:jc w:val="left"/>
            </w:pPr>
            <w:r>
              <w:rPr>
                <w:rFonts w:ascii="Arial" w:eastAsia="宋体" w:hAnsi="Arial"/>
                <w:b w:val="false"/>
                <w:bCs w:val="false"/>
                <w:color w:val="222A33"/>
                <w:sz w:val="18"/>
                <w:szCs w:val="18"/>
              </w:rPr>
              <w:t xml:space="preserve">5 剂，建议复诊评估</w:t>
            </w:r>
          </w:p>
        </w:tc>
      </w:tr>
      <w:tr>
        <w:trPr>
          <w:cantSplit/>
          <w:tblHeader w:val="off"/>
        </w:trPr>
        <w:tc>
          <w:tcPr>
            <w:tcW w:type="dxa" w:w="2512"/>
            <w:vAlign w:val="top"/>
          </w:tcPr>
          <w:p>
            <w:pPr>
              <w:spacing w:after="0" w:before="0" w:line="264"/>
              <w:jc w:val="left"/>
            </w:pPr>
            <w:r>
              <w:rPr>
                <w:rFonts w:ascii="Arial" w:eastAsia="宋体" w:hAnsi="Arial"/>
                <w:b/>
                <w:bCs/>
                <w:color w:val="222A33"/>
                <w:sz w:val="18"/>
                <w:szCs w:val="18"/>
              </w:rPr>
              <w:t xml:space="preserve">综合结论</w:t>
            </w:r>
          </w:p>
        </w:tc>
        <w:tc>
          <w:tcPr>
            <w:tcW w:type="dxa" w:w="2143"/>
            <w:vAlign w:val="top"/>
          </w:tcPr>
          <w:p>
            <w:pPr>
              <w:spacing w:after="0" w:before="0" w:line="264"/>
              <w:jc w:val="left"/>
            </w:pPr>
            <w:r>
              <w:rPr>
                <w:rFonts w:ascii="Arial" w:eastAsia="宋体" w:hAnsi="Arial"/>
                <w:b/>
                <w:bCs/>
                <w:color w:val="222A33"/>
                <w:sz w:val="18"/>
                <w:szCs w:val="18"/>
              </w:rPr>
              <w:t xml:space="preserve">不通过</w:t>
            </w:r>
          </w:p>
        </w:tc>
        <w:tc>
          <w:tcPr>
            <w:tcW w:type="dxa" w:w="4529"/>
            <w:vAlign w:val="top"/>
          </w:tcPr>
          <w:p>
            <w:pPr>
              <w:spacing w:after="0" w:before="0" w:line="264"/>
              <w:jc w:val="left"/>
            </w:pPr>
            <w:r>
              <w:rPr>
                <w:rFonts w:ascii="Arial" w:eastAsia="宋体" w:hAnsi="Arial"/>
                <w:b w:val="false"/>
                <w:bCs w:val="false"/>
                <w:color w:val="222A33"/>
                <w:sz w:val="18"/>
                <w:szCs w:val="18"/>
              </w:rPr>
              <w:t xml:space="preserve">存在高风险问题，暂缓调配</w:t>
            </w:r>
          </w:p>
        </w:tc>
      </w:tr>
    </w:tbl>
    <w:p>
      <w:pPr>
        <w:spacing w:after="0" w:before="0" w:line="80"/>
      </w:pPr>
    </w:p>
    <w:p>
      <w:pPr>
        <w:pStyle w:val="Heading2"/>
        <w:keepNext/>
        <w:pBdr>
          <w:bottom w:val="single" w:color="D6E3F0" w:sz="6" w:space="2"/>
        </w:pBdr>
      </w:pPr>
      <w:bookmarkStart w:name="_Toc11" w:id="11"/>
      <w:r>
        <w:rPr>
          <w:rFonts w:ascii="Arial" w:eastAsia="黑体" w:hAnsi="Arial"/>
          <w:b/>
          <w:bCs/>
          <w:color w:val="2E5C8A"/>
          <w:sz w:val="28"/>
          <w:szCs w:val="28"/>
        </w:rPr>
        <w:t xml:space="preserve">3.3 问题一：十九畏“人参畏五灵脂”</w:t>
      </w:r>
      <w:bookmarkEnd w:id="11"/>
    </w:p>
    <w:p>
      <w:pPr>
        <w:spacing w:after="120" w:before="0" w:line="360"/>
        <w:ind w:firstLine="420"/>
        <w:jc w:val="both"/>
      </w:pPr>
      <w:r>
        <w:rPr>
          <w:rFonts w:ascii="Times New Roman" w:eastAsia="宋体" w:hAnsi="Times New Roman"/>
          <w:b/>
          <w:bCs/>
          <w:color w:val="222A33"/>
          <w:sz w:val="21"/>
          <w:szCs w:val="21"/>
        </w:rPr>
        <w:t xml:space="preserve">事实：</w:t>
      </w:r>
      <w:r>
        <w:rPr>
          <w:rFonts w:ascii="Times New Roman" w:eastAsia="宋体" w:hAnsi="Times New Roman"/>
          <w:b w:val="false"/>
          <w:bCs w:val="false"/>
          <w:color w:val="222A33"/>
          <w:sz w:val="21"/>
          <w:szCs w:val="21"/>
        </w:rPr>
        <w:t xml:space="preserve"> 处方第 1 味人参 9 g，第 2 味五灵脂 10 g，两药同方。</w:t>
      </w:r>
    </w:p>
    <w:p>
      <w:pPr>
        <w:spacing w:after="120" w:before="0" w:line="360"/>
        <w:ind w:firstLine="420"/>
        <w:jc w:val="both"/>
      </w:pPr>
      <w:r>
        <w:rPr>
          <w:rFonts w:ascii="Times New Roman" w:eastAsia="宋体" w:hAnsi="Times New Roman"/>
          <w:b/>
          <w:bCs/>
          <w:color w:val="222A33"/>
          <w:sz w:val="21"/>
          <w:szCs w:val="21"/>
        </w:rPr>
        <w:t xml:space="preserve">依据：</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传统“十九畏”歌诀载“人参最怕五灵脂”，人参畏五灵脂属配伍禁忌。十九畏的“畏”与七情中“相畏”含义不同：七情之相畏指毒性被另一药减轻，十九畏指合用可能产生不良反应。</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现行版《中国药典》一部“人参”条目明确：不宜与藜芦、五灵脂同用。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《中华人民共和国药典临床用药须知·中药饮片卷》将人参、五灵脂列为配伍禁忌相关药物。</w:t>
      </w:r>
    </w:p>
    <w:p>
      <w:pPr>
        <w:spacing w:after="120" w:before="0" w:line="360"/>
        <w:ind w:firstLine="420"/>
        <w:jc w:val="both"/>
      </w:pPr>
      <w:r>
        <w:rPr>
          <w:rFonts w:ascii="Times New Roman" w:eastAsia="宋体" w:hAnsi="Times New Roman"/>
          <w:b/>
          <w:bCs/>
          <w:color w:val="222A33"/>
          <w:sz w:val="21"/>
          <w:szCs w:val="21"/>
        </w:rPr>
        <w:t xml:space="preserve">风险分析：</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传统认为两药合用可能相互制约，影响人参补气效果，并可能出现恶心、腹痛、腹泻等胃肠反应。</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现代研究对十九畏的机制和强度证据有限，尚不能给出明确的剂量—反应关系；但属于传统高风险配伍，不宜在缺乏充分依据时合用。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本处方为 62 岁患者，既往有慢性胃炎，胃肠耐受性可能下降，风险相对增加。</w:t>
      </w:r>
    </w:p>
    <w:p>
      <w:pPr>
        <w:spacing w:after="120" w:before="0" w:line="360"/>
        <w:ind w:firstLine="420"/>
        <w:jc w:val="both"/>
      </w:pPr>
      <w:r>
        <w:rPr>
          <w:rFonts w:ascii="Times New Roman" w:eastAsia="宋体" w:hAnsi="Times New Roman"/>
          <w:b/>
          <w:bCs/>
          <w:color w:val="222A33"/>
          <w:sz w:val="21"/>
          <w:szCs w:val="21"/>
        </w:rPr>
        <w:t xml:space="preserve">评价：</w:t>
      </w:r>
      <w:r>
        <w:rPr>
          <w:rFonts w:ascii="Times New Roman" w:eastAsia="宋体" w:hAnsi="Times New Roman"/>
          <w:b w:val="false"/>
          <w:bCs w:val="false"/>
          <w:color w:val="222A33"/>
          <w:sz w:val="21"/>
          <w:szCs w:val="21"/>
        </w:rPr>
        <w:t xml:space="preserve"> 该问题属于明确的配伍禁忌，不能以“古方有先例”作为常规理由直接放行；如确需合用，应有充分的理论依据、医师双签字、患者知情同意和密切监测。本样例中医师未提供上述依据，药师按不通过处理。</w:t>
      </w:r>
    </w:p>
    <w:p>
      <w:pPr>
        <w:pStyle w:val="Heading2"/>
        <w:keepNext/>
        <w:pBdr>
          <w:bottom w:val="single" w:color="D6E3F0" w:sz="6" w:space="2"/>
        </w:pBdr>
      </w:pPr>
      <w:bookmarkStart w:name="_Toc12" w:id="12"/>
      <w:r>
        <w:rPr>
          <w:rFonts w:ascii="Arial" w:eastAsia="黑体" w:hAnsi="Arial"/>
          <w:b/>
          <w:bCs/>
          <w:color w:val="2E5C8A"/>
          <w:sz w:val="28"/>
          <w:szCs w:val="28"/>
        </w:rPr>
        <w:t xml:space="preserve">3.4 问题二：吴茱萸超量</w:t>
      </w:r>
      <w:bookmarkEnd w:id="12"/>
    </w:p>
    <w:p>
      <w:pPr>
        <w:spacing w:after="120" w:before="0" w:line="360"/>
        <w:ind w:firstLine="420"/>
        <w:jc w:val="both"/>
      </w:pPr>
      <w:r>
        <w:rPr>
          <w:rFonts w:ascii="Times New Roman" w:eastAsia="宋体" w:hAnsi="Times New Roman"/>
          <w:b/>
          <w:bCs/>
          <w:color w:val="222A33"/>
          <w:sz w:val="21"/>
          <w:szCs w:val="21"/>
        </w:rPr>
        <w:t xml:space="preserve">事实：</w:t>
      </w:r>
      <w:r>
        <w:rPr>
          <w:rFonts w:ascii="Times New Roman" w:eastAsia="宋体" w:hAnsi="Times New Roman"/>
          <w:b w:val="false"/>
          <w:bCs w:val="false"/>
          <w:color w:val="222A33"/>
          <w:sz w:val="21"/>
          <w:szCs w:val="21"/>
        </w:rPr>
        <w:t xml:space="preserve"> 处方吴茱萸 10 g。</w:t>
      </w:r>
    </w:p>
    <w:p>
      <w:pPr>
        <w:spacing w:after="120" w:before="0" w:line="360"/>
        <w:ind w:firstLine="420"/>
        <w:jc w:val="both"/>
      </w:pPr>
      <w:r>
        <w:rPr>
          <w:rFonts w:ascii="Times New Roman" w:eastAsia="宋体" w:hAnsi="Times New Roman"/>
          <w:b/>
          <w:bCs/>
          <w:color w:val="222A33"/>
          <w:sz w:val="21"/>
          <w:szCs w:val="21"/>
        </w:rPr>
        <w:t xml:space="preserve">依据：</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现行版《中国药典》一部规定吴茱萸用量 2～5 g。</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吴茱萸辛、苦，热，</w:t>
      </w:r>
      <w:r>
        <w:rPr>
          <w:rFonts w:ascii="Times New Roman" w:eastAsia="宋体" w:hAnsi="Times New Roman"/>
          <w:b/>
          <w:bCs/>
          <w:color w:val="222A33"/>
          <w:sz w:val="21"/>
          <w:szCs w:val="21"/>
        </w:rPr>
        <w:t xml:space="preserve">有小毒</w:t>
      </w:r>
      <w:r>
        <w:rPr>
          <w:rFonts w:ascii="Times New Roman" w:eastAsia="宋体" w:hAnsi="Times New Roman"/>
          <w:b w:val="false"/>
          <w:bCs w:val="false"/>
          <w:color w:val="222A33"/>
          <w:sz w:val="21"/>
          <w:szCs w:val="21"/>
        </w:rPr>
        <w:t xml:space="preserve">；辛热燥烈，不宜多用久服；阴虚有热者忌用。</w:t>
      </w:r>
    </w:p>
    <w:p>
      <w:pPr>
        <w:spacing w:after="120" w:before="0" w:line="360"/>
        <w:ind w:firstLine="420"/>
        <w:jc w:val="both"/>
      </w:pPr>
      <w:r>
        <w:rPr>
          <w:rFonts w:ascii="Times New Roman" w:eastAsia="宋体" w:hAnsi="Times New Roman"/>
          <w:b/>
          <w:bCs/>
          <w:color w:val="222A33"/>
          <w:sz w:val="21"/>
          <w:szCs w:val="21"/>
        </w:rPr>
        <w:t xml:space="preserve">风险分析：</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本方剂量为药典上限的 2 倍。过量可能出现口干、咽干、恶心、腹痛、腹泻、头晕等不适，个体差异较大。</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患者 62 岁，未提供近期肝肾功能；合并高血压并服用氨氯地平，用药风险需更谨慎评估。</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吴茱萸与生姜同用可温中散寒，但生姜不能抵消超量带来的风险。</w:t>
      </w:r>
    </w:p>
    <w:p>
      <w:pPr>
        <w:spacing w:after="120" w:before="0" w:line="360"/>
        <w:ind w:firstLine="420"/>
        <w:jc w:val="both"/>
      </w:pPr>
      <w:r>
        <w:rPr>
          <w:rFonts w:ascii="Times New Roman" w:eastAsia="宋体" w:hAnsi="Times New Roman"/>
          <w:b/>
          <w:bCs/>
          <w:color w:val="222A33"/>
          <w:sz w:val="21"/>
          <w:szCs w:val="21"/>
        </w:rPr>
        <w:t xml:space="preserve">建议：</w:t>
      </w:r>
      <w:r>
        <w:rPr>
          <w:rFonts w:ascii="Times New Roman" w:eastAsia="宋体" w:hAnsi="Times New Roman"/>
          <w:b w:val="false"/>
          <w:bCs w:val="false"/>
          <w:color w:val="222A33"/>
          <w:sz w:val="21"/>
          <w:szCs w:val="21"/>
        </w:rPr>
        <w:t xml:space="preserve"> 降至 2～5 g 范围内；如确需加强散寒止痛，应由医师评估后改用其他药物或书面说明理由，并加强用药监护。</w:t>
      </w:r>
    </w:p>
    <w:p>
      <w:pPr>
        <w:pStyle w:val="Heading2"/>
        <w:keepNext/>
        <w:pBdr>
          <w:bottom w:val="single" w:color="D6E3F0" w:sz="6" w:space="2"/>
        </w:pBdr>
      </w:pPr>
      <w:bookmarkStart w:name="_Toc13" w:id="13"/>
      <w:r>
        <w:rPr>
          <w:rFonts w:ascii="Arial" w:eastAsia="黑体" w:hAnsi="Arial"/>
          <w:b/>
          <w:bCs/>
          <w:color w:val="2E5C8A"/>
          <w:sz w:val="28"/>
          <w:szCs w:val="28"/>
        </w:rPr>
        <w:t xml:space="preserve">3.5 问题三：特殊煎法缺失</w:t>
      </w:r>
      <w:bookmarkEnd w:id="13"/>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1598"/>
        <w:gridCol w:w="2225"/>
        <w:gridCol w:w="1695"/>
        <w:gridCol w:w="3666"/>
      </w:tblGrid>
      <w:tr>
        <w:trPr>
          <w:cantSplit/>
          <w:tblHeader/>
        </w:trPr>
        <w:tc>
          <w:tcPr>
            <w:tcW w:type="dxa" w:w="1598"/>
            <w:shd w:fill="DCE9F7" w:color="auto" w:val="clear"/>
            <w:vAlign w:val="center"/>
          </w:tcPr>
          <w:p>
            <w:pPr>
              <w:spacing w:after="0" w:before="0" w:line="264"/>
              <w:jc w:val="center"/>
            </w:pPr>
            <w:r>
              <w:rPr>
                <w:rFonts w:ascii="Arial" w:eastAsia="宋体" w:hAnsi="Arial"/>
                <w:b/>
                <w:bCs/>
                <w:color w:val="1F3A5F"/>
                <w:sz w:val="18"/>
                <w:szCs w:val="18"/>
              </w:rPr>
              <w:t xml:space="preserve">药物</w:t>
            </w:r>
          </w:p>
        </w:tc>
        <w:tc>
          <w:tcPr>
            <w:tcW w:type="dxa" w:w="2225"/>
            <w:shd w:fill="DCE9F7" w:color="auto" w:val="clear"/>
            <w:vAlign w:val="center"/>
          </w:tcPr>
          <w:p>
            <w:pPr>
              <w:spacing w:after="0" w:before="0" w:line="264"/>
              <w:jc w:val="center"/>
            </w:pPr>
            <w:r>
              <w:rPr>
                <w:rFonts w:ascii="Arial" w:eastAsia="宋体" w:hAnsi="Arial"/>
                <w:b/>
                <w:bCs/>
                <w:color w:val="1F3A5F"/>
                <w:sz w:val="18"/>
                <w:szCs w:val="18"/>
              </w:rPr>
              <w:t xml:space="preserve">应有煎法</w:t>
            </w:r>
          </w:p>
        </w:tc>
        <w:tc>
          <w:tcPr>
            <w:tcW w:type="dxa" w:w="1695"/>
            <w:shd w:fill="DCE9F7" w:color="auto" w:val="clear"/>
            <w:vAlign w:val="center"/>
          </w:tcPr>
          <w:p>
            <w:pPr>
              <w:spacing w:after="0" w:before="0" w:line="264"/>
              <w:jc w:val="center"/>
            </w:pPr>
            <w:r>
              <w:rPr>
                <w:rFonts w:ascii="Arial" w:eastAsia="宋体" w:hAnsi="Arial"/>
                <w:b/>
                <w:bCs/>
                <w:color w:val="1F3A5F"/>
                <w:sz w:val="18"/>
                <w:szCs w:val="18"/>
              </w:rPr>
              <w:t xml:space="preserve">原方标注</w:t>
            </w:r>
          </w:p>
        </w:tc>
        <w:tc>
          <w:tcPr>
            <w:tcW w:type="dxa" w:w="3666"/>
            <w:shd w:fill="DCE9F7" w:color="auto" w:val="clear"/>
            <w:vAlign w:val="center"/>
          </w:tcPr>
          <w:p>
            <w:pPr>
              <w:spacing w:after="0" w:before="0" w:line="264"/>
              <w:jc w:val="center"/>
            </w:pPr>
            <w:r>
              <w:rPr>
                <w:rFonts w:ascii="Arial" w:eastAsia="宋体" w:hAnsi="Arial"/>
                <w:b/>
                <w:bCs/>
                <w:color w:val="1F3A5F"/>
                <w:sz w:val="18"/>
                <w:szCs w:val="18"/>
              </w:rPr>
              <w:t xml:space="preserve">理由</w:t>
            </w:r>
          </w:p>
        </w:tc>
      </w:tr>
      <w:tr>
        <w:trPr>
          <w:cantSplit/>
          <w:tblHeader w:val="off"/>
        </w:trPr>
        <w:tc>
          <w:tcPr>
            <w:tcW w:type="dxa" w:w="1598"/>
            <w:vAlign w:val="top"/>
          </w:tcPr>
          <w:p>
            <w:pPr>
              <w:spacing w:after="0" w:before="0" w:line="264"/>
              <w:jc w:val="left"/>
            </w:pPr>
            <w:r>
              <w:rPr>
                <w:rFonts w:ascii="Arial" w:eastAsia="宋体" w:hAnsi="Arial"/>
                <w:b w:val="false"/>
                <w:bCs w:val="false"/>
                <w:color w:val="222A33"/>
                <w:sz w:val="18"/>
                <w:szCs w:val="18"/>
              </w:rPr>
              <w:t xml:space="preserve">人参</w:t>
            </w:r>
          </w:p>
        </w:tc>
        <w:tc>
          <w:tcPr>
            <w:tcW w:type="dxa" w:w="2225"/>
            <w:vAlign w:val="top"/>
          </w:tcPr>
          <w:p>
            <w:pPr>
              <w:spacing w:after="0" w:before="0" w:line="264"/>
              <w:jc w:val="left"/>
            </w:pPr>
            <w:r>
              <w:rPr>
                <w:rFonts w:ascii="Arial" w:eastAsia="宋体" w:hAnsi="Arial"/>
                <w:b w:val="false"/>
                <w:bCs w:val="false"/>
                <w:color w:val="222A33"/>
                <w:sz w:val="18"/>
                <w:szCs w:val="18"/>
              </w:rPr>
              <w:t xml:space="preserve">另煎兑服，或研粉吞服</w:t>
            </w:r>
          </w:p>
        </w:tc>
        <w:tc>
          <w:tcPr>
            <w:tcW w:type="dxa" w:w="1695"/>
            <w:vAlign w:val="top"/>
          </w:tcPr>
          <w:p>
            <w:pPr>
              <w:spacing w:after="0" w:before="0" w:line="264"/>
              <w:jc w:val="left"/>
            </w:pPr>
            <w:r>
              <w:rPr>
                <w:rFonts w:ascii="Arial" w:eastAsia="宋体" w:hAnsi="Arial"/>
                <w:b w:val="false"/>
                <w:bCs w:val="false"/>
                <w:color w:val="222A33"/>
                <w:sz w:val="18"/>
                <w:szCs w:val="18"/>
              </w:rPr>
              <w:t xml:space="preserve">同煎</w:t>
            </w:r>
          </w:p>
        </w:tc>
        <w:tc>
          <w:tcPr>
            <w:tcW w:type="dxa" w:w="3666"/>
            <w:vAlign w:val="top"/>
          </w:tcPr>
          <w:p>
            <w:pPr>
              <w:spacing w:after="0" w:before="0" w:line="264"/>
              <w:jc w:val="left"/>
            </w:pPr>
            <w:r>
              <w:rPr>
                <w:rFonts w:ascii="Arial" w:eastAsia="宋体" w:hAnsi="Arial"/>
                <w:b w:val="false"/>
                <w:bCs w:val="false"/>
                <w:color w:val="222A33"/>
                <w:sz w:val="18"/>
                <w:szCs w:val="18"/>
              </w:rPr>
              <w:t xml:space="preserve">贵重药，另煎可充分溶出并避免被药渣吸附；与群药同煎造成浪费</w:t>
            </w:r>
          </w:p>
        </w:tc>
      </w:tr>
      <w:tr>
        <w:trPr>
          <w:cantSplit/>
          <w:tblHeader w:val="off"/>
        </w:trPr>
        <w:tc>
          <w:tcPr>
            <w:tcW w:type="dxa" w:w="1598"/>
            <w:shd w:fill="F5F8FC" w:color="auto" w:val="clear"/>
            <w:vAlign w:val="top"/>
          </w:tcPr>
          <w:p>
            <w:pPr>
              <w:spacing w:after="0" w:before="0" w:line="264"/>
              <w:jc w:val="left"/>
            </w:pPr>
            <w:r>
              <w:rPr>
                <w:rFonts w:ascii="Arial" w:eastAsia="宋体" w:hAnsi="Arial"/>
                <w:b w:val="false"/>
                <w:bCs w:val="false"/>
                <w:color w:val="222A33"/>
                <w:sz w:val="18"/>
                <w:szCs w:val="18"/>
              </w:rPr>
              <w:t xml:space="preserve">五灵脂</w:t>
            </w:r>
          </w:p>
        </w:tc>
        <w:tc>
          <w:tcPr>
            <w:tcW w:type="dxa" w:w="2225"/>
            <w:shd w:fill="F5F8FC" w:color="auto" w:val="clear"/>
            <w:vAlign w:val="top"/>
          </w:tcPr>
          <w:p>
            <w:pPr>
              <w:spacing w:after="0" w:before="0" w:line="264"/>
              <w:jc w:val="left"/>
            </w:pPr>
            <w:r>
              <w:rPr>
                <w:rFonts w:ascii="Arial" w:eastAsia="宋体" w:hAnsi="Arial"/>
                <w:b w:val="false"/>
                <w:bCs w:val="false"/>
                <w:color w:val="222A33"/>
                <w:sz w:val="18"/>
                <w:szCs w:val="18"/>
              </w:rPr>
              <w:t xml:space="preserve">包煎</w:t>
            </w:r>
          </w:p>
        </w:tc>
        <w:tc>
          <w:tcPr>
            <w:tcW w:type="dxa" w:w="1695"/>
            <w:shd w:fill="F5F8FC" w:color="auto" w:val="clear"/>
            <w:vAlign w:val="top"/>
          </w:tcPr>
          <w:p>
            <w:pPr>
              <w:spacing w:after="0" w:before="0" w:line="264"/>
              <w:jc w:val="left"/>
            </w:pPr>
            <w:r>
              <w:rPr>
                <w:rFonts w:ascii="Arial" w:eastAsia="宋体" w:hAnsi="Arial"/>
                <w:b w:val="false"/>
                <w:bCs w:val="false"/>
                <w:color w:val="222A33"/>
                <w:sz w:val="18"/>
                <w:szCs w:val="18"/>
              </w:rPr>
              <w:t xml:space="preserve">同煎</w:t>
            </w:r>
          </w:p>
        </w:tc>
        <w:tc>
          <w:tcPr>
            <w:tcW w:type="dxa" w:w="3666"/>
            <w:shd w:fill="F5F8FC" w:color="auto" w:val="clear"/>
            <w:vAlign w:val="top"/>
          </w:tcPr>
          <w:p>
            <w:pPr>
              <w:spacing w:after="0" w:before="0" w:line="264"/>
              <w:jc w:val="left"/>
            </w:pPr>
            <w:r>
              <w:rPr>
                <w:rFonts w:ascii="Arial" w:eastAsia="宋体" w:hAnsi="Arial"/>
                <w:b w:val="false"/>
                <w:bCs w:val="false"/>
                <w:color w:val="222A33"/>
                <w:sz w:val="18"/>
                <w:szCs w:val="18"/>
              </w:rPr>
              <w:t xml:space="preserve">动物类药材，含细粉和杂质，易使药液浑浊、刺激咽喉</w:t>
            </w:r>
          </w:p>
        </w:tc>
      </w:tr>
    </w:tbl>
    <w:p>
      <w:pPr>
        <w:spacing w:after="0" w:before="0" w:line="80"/>
      </w:pPr>
    </w:p>
    <w:p>
      <w:pPr>
        <w:spacing w:after="120" w:before="0" w:line="360"/>
        <w:ind w:firstLine="420"/>
        <w:jc w:val="both"/>
      </w:pPr>
      <w:r>
        <w:rPr>
          <w:rFonts w:ascii="Times New Roman" w:eastAsia="宋体" w:hAnsi="Times New Roman"/>
          <w:b/>
          <w:bCs/>
          <w:color w:val="222A33"/>
          <w:sz w:val="21"/>
          <w:szCs w:val="21"/>
        </w:rPr>
        <w:t xml:space="preserve">评价：</w:t>
      </w:r>
      <w:r>
        <w:rPr>
          <w:rFonts w:ascii="Times New Roman" w:eastAsia="宋体" w:hAnsi="Times New Roman"/>
          <w:b w:val="false"/>
          <w:bCs w:val="false"/>
          <w:color w:val="222A33"/>
          <w:sz w:val="21"/>
          <w:szCs w:val="21"/>
        </w:rPr>
        <w:t xml:space="preserve"> 煎法缺失不一定立即造成毒性，但会影响疗效、口感和依从性，属于处方规范性缺陷。应在修改处方时一并更正。</w:t>
      </w:r>
    </w:p>
    <w:p>
      <w:pPr>
        <w:pStyle w:val="Heading2"/>
        <w:keepNext/>
        <w:pBdr>
          <w:bottom w:val="single" w:color="D6E3F0" w:sz="6" w:space="2"/>
        </w:pBdr>
      </w:pPr>
      <w:bookmarkStart w:name="_Toc14" w:id="14"/>
      <w:r>
        <w:rPr>
          <w:rFonts w:ascii="Arial" w:eastAsia="黑体" w:hAnsi="Arial"/>
          <w:b/>
          <w:bCs/>
          <w:color w:val="2E5C8A"/>
          <w:sz w:val="28"/>
          <w:szCs w:val="28"/>
        </w:rPr>
        <w:t xml:space="preserve">3.6 其他核查</w:t>
      </w:r>
      <w:bookmarkEnd w:id="14"/>
    </w:p>
    <w:p>
      <w:pPr>
        <w:spacing w:after="120" w:before="0" w:line="360"/>
        <w:ind w:firstLine="420"/>
        <w:jc w:val="both"/>
      </w:pPr>
      <w:r>
        <w:rPr>
          <w:rFonts w:ascii="Times New Roman" w:eastAsia="宋体" w:hAnsi="Times New Roman"/>
          <w:b w:val="false"/>
          <w:bCs w:val="false"/>
          <w:color w:val="222A33"/>
          <w:sz w:val="21"/>
          <w:szCs w:val="21"/>
        </w:rPr>
        <w:t xml:space="preserve">#### 3.6.1 十八反、妊娠与其他禁忌</w:t>
      </w:r>
    </w:p>
    <w:p>
      <w:pPr>
        <w:pStyle w:val="ListParagraph"/>
        <w:numPr>
          <w:ilvl w:val="0"/>
          <w:numId w:val="2"/>
        </w:numPr>
        <w:spacing w:after="60" w:before="0" w:line="336"/>
      </w:pPr>
      <w:r>
        <w:rPr>
          <w:rFonts w:ascii="Times New Roman" w:eastAsia="宋体" w:hAnsi="Times New Roman"/>
          <w:b/>
          <w:bCs/>
          <w:color w:val="222A33"/>
          <w:sz w:val="21"/>
          <w:szCs w:val="21"/>
        </w:rPr>
        <w:t xml:space="preserve">十八反：</w:t>
      </w:r>
      <w:r>
        <w:rPr>
          <w:rFonts w:ascii="Times New Roman" w:eastAsia="宋体" w:hAnsi="Times New Roman"/>
          <w:b w:val="false"/>
          <w:bCs w:val="false"/>
          <w:color w:val="222A33"/>
          <w:sz w:val="21"/>
          <w:szCs w:val="21"/>
        </w:rPr>
        <w:t xml:space="preserve"> 未发现。方中无人参与藜芦、甘草与海藻 / 京大戟 / 甘遂 / 芫花、乌头类与半夏 / 瓜蒌 / 贝母 / 白蔹 / 白及同方。</w:t>
      </w:r>
    </w:p>
    <w:p>
      <w:pPr>
        <w:pStyle w:val="ListParagraph"/>
        <w:numPr>
          <w:ilvl w:val="0"/>
          <w:numId w:val="2"/>
        </w:numPr>
        <w:spacing w:after="60" w:before="0" w:line="336"/>
      </w:pPr>
      <w:r>
        <w:rPr>
          <w:rFonts w:ascii="Times New Roman" w:eastAsia="宋体" w:hAnsi="Times New Roman"/>
          <w:b/>
          <w:bCs/>
          <w:color w:val="222A33"/>
          <w:sz w:val="21"/>
          <w:szCs w:val="21"/>
        </w:rPr>
        <w:t xml:space="preserve">妊娠 / 哺乳：</w:t>
      </w:r>
      <w:r>
        <w:rPr>
          <w:rFonts w:ascii="Times New Roman" w:eastAsia="宋体" w:hAnsi="Times New Roman"/>
          <w:b w:val="false"/>
          <w:bCs w:val="false"/>
          <w:color w:val="222A33"/>
          <w:sz w:val="21"/>
          <w:szCs w:val="21"/>
        </w:rPr>
        <w:t xml:space="preserve"> 不适用。</w:t>
      </w:r>
    </w:p>
    <w:p>
      <w:pPr>
        <w:pStyle w:val="ListParagraph"/>
        <w:numPr>
          <w:ilvl w:val="0"/>
          <w:numId w:val="2"/>
        </w:numPr>
        <w:spacing w:after="60" w:before="0" w:line="336"/>
      </w:pPr>
      <w:r>
        <w:rPr>
          <w:rFonts w:ascii="Times New Roman" w:eastAsia="宋体" w:hAnsi="Times New Roman"/>
          <w:b/>
          <w:bCs/>
          <w:color w:val="222A33"/>
          <w:sz w:val="21"/>
          <w:szCs w:val="21"/>
        </w:rPr>
        <w:t xml:space="preserve">证候禁忌：</w:t>
      </w:r>
      <w:r>
        <w:rPr>
          <w:rFonts w:ascii="Times New Roman" w:eastAsia="宋体" w:hAnsi="Times New Roman"/>
          <w:b w:val="false"/>
          <w:bCs w:val="false"/>
          <w:color w:val="222A33"/>
          <w:sz w:val="21"/>
          <w:szCs w:val="21"/>
        </w:rPr>
        <w:t xml:space="preserve"> 患者脾胃气虚、寒凝血瘀，方中人参、白术、干姜类温补与证候方向基本相符；但需注意甘草、吴茱萸的长期使用风险。</w:t>
      </w:r>
    </w:p>
    <w:p>
      <w:pPr>
        <w:pStyle w:val="ListParagraph"/>
        <w:numPr>
          <w:ilvl w:val="0"/>
          <w:numId w:val="2"/>
        </w:numPr>
        <w:spacing w:after="60" w:before="0" w:line="336"/>
      </w:pPr>
      <w:r>
        <w:rPr>
          <w:rFonts w:ascii="Times New Roman" w:eastAsia="宋体" w:hAnsi="Times New Roman"/>
          <w:b/>
          <w:bCs/>
          <w:color w:val="222A33"/>
          <w:sz w:val="21"/>
          <w:szCs w:val="21"/>
        </w:rPr>
        <w:t xml:space="preserve">重复用药：</w:t>
      </w:r>
      <w:r>
        <w:rPr>
          <w:rFonts w:ascii="Times New Roman" w:eastAsia="宋体" w:hAnsi="Times New Roman"/>
          <w:b w:val="false"/>
          <w:bCs w:val="false"/>
          <w:color w:val="222A33"/>
          <w:sz w:val="21"/>
          <w:szCs w:val="21"/>
        </w:rPr>
        <w:t xml:space="preserve"> 未发现同类药物重复。</w:t>
      </w:r>
    </w:p>
    <w:p>
      <w:pPr>
        <w:pStyle w:val="ListParagraph"/>
        <w:numPr>
          <w:ilvl w:val="0"/>
          <w:numId w:val="2"/>
        </w:numPr>
        <w:spacing w:after="60" w:before="0" w:line="336"/>
      </w:pPr>
      <w:r>
        <w:rPr>
          <w:rFonts w:ascii="Times New Roman" w:eastAsia="宋体" w:hAnsi="Times New Roman"/>
          <w:b/>
          <w:bCs/>
          <w:color w:val="222A33"/>
          <w:sz w:val="21"/>
          <w:szCs w:val="21"/>
        </w:rPr>
        <w:t xml:space="preserve">药物相互作用：</w:t>
      </w:r>
      <w:r>
        <w:rPr>
          <w:rFonts w:ascii="Times New Roman" w:eastAsia="宋体" w:hAnsi="Times New Roman"/>
          <w:b w:val="false"/>
          <w:bCs w:val="false"/>
          <w:color w:val="222A33"/>
          <w:sz w:val="21"/>
          <w:szCs w:val="21"/>
        </w:rPr>
        <w:t xml:space="preserve"> 炙甘草 6 g 与氨氯地平同用，短期风险较低；长期或大剂量甘草可能引起水钠潴留、血压升高、低钾，需监测血压和血钾。若同时使用利尿剂、地高辛或糖皮质激素，风险增加。</w:t>
      </w:r>
    </w:p>
    <w:p>
      <w:pPr>
        <w:spacing w:after="120" w:before="0" w:line="360"/>
        <w:ind w:firstLine="420"/>
        <w:jc w:val="both"/>
      </w:pPr>
      <w:r>
        <w:rPr>
          <w:rFonts w:ascii="Times New Roman" w:eastAsia="宋体" w:hAnsi="Times New Roman"/>
          <w:b w:val="false"/>
          <w:bCs w:val="false"/>
          <w:color w:val="222A33"/>
          <w:sz w:val="21"/>
          <w:szCs w:val="21"/>
        </w:rPr>
        <w:t xml:space="preserve">#### 3.6.2 逐味剂量审核</w:t>
      </w:r>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1676"/>
        <w:gridCol w:w="1853"/>
        <w:gridCol w:w="1818"/>
        <w:gridCol w:w="1748"/>
        <w:gridCol w:w="2089"/>
      </w:tblGrid>
      <w:tr>
        <w:trPr>
          <w:cantSplit/>
          <w:tblHeader/>
        </w:trPr>
        <w:tc>
          <w:tcPr>
            <w:tcW w:type="dxa" w:w="1676"/>
            <w:shd w:fill="DCE9F7" w:color="auto" w:val="clear"/>
            <w:vAlign w:val="center"/>
          </w:tcPr>
          <w:p>
            <w:pPr>
              <w:spacing w:after="0" w:before="0" w:line="264"/>
              <w:jc w:val="center"/>
            </w:pPr>
            <w:r>
              <w:rPr>
                <w:rFonts w:ascii="Arial" w:eastAsia="宋体" w:hAnsi="Arial"/>
                <w:b/>
                <w:bCs/>
                <w:color w:val="1F3A5F"/>
                <w:sz w:val="17"/>
                <w:szCs w:val="17"/>
              </w:rPr>
              <w:t xml:space="preserve">饮片</w:t>
            </w:r>
          </w:p>
        </w:tc>
        <w:tc>
          <w:tcPr>
            <w:tcW w:type="dxa" w:w="1853"/>
            <w:shd w:fill="DCE9F7" w:color="auto" w:val="clear"/>
            <w:vAlign w:val="center"/>
          </w:tcPr>
          <w:p>
            <w:pPr>
              <w:spacing w:after="0" w:before="0" w:line="264"/>
              <w:jc w:val="center"/>
            </w:pPr>
            <w:r>
              <w:rPr>
                <w:rFonts w:ascii="Arial" w:eastAsia="宋体" w:hAnsi="Arial"/>
                <w:b/>
                <w:bCs/>
                <w:color w:val="1F3A5F"/>
                <w:sz w:val="17"/>
                <w:szCs w:val="17"/>
              </w:rPr>
              <w:t xml:space="preserve">药典 / 规范用量</w:t>
            </w:r>
          </w:p>
        </w:tc>
        <w:tc>
          <w:tcPr>
            <w:tcW w:type="dxa" w:w="1818"/>
            <w:shd w:fill="DCE9F7" w:color="auto" w:val="clear"/>
            <w:vAlign w:val="center"/>
          </w:tcPr>
          <w:p>
            <w:pPr>
              <w:spacing w:after="0" w:before="0" w:line="264"/>
              <w:jc w:val="center"/>
            </w:pPr>
            <w:r>
              <w:rPr>
                <w:rFonts w:ascii="Arial" w:eastAsia="宋体" w:hAnsi="Arial"/>
                <w:b/>
                <w:bCs/>
                <w:color w:val="1F3A5F"/>
                <w:sz w:val="17"/>
                <w:szCs w:val="17"/>
              </w:rPr>
              <w:t xml:space="preserve">本方剂量</w:t>
            </w:r>
          </w:p>
        </w:tc>
        <w:tc>
          <w:tcPr>
            <w:tcW w:type="dxa" w:w="1748"/>
            <w:shd w:fill="DCE9F7" w:color="auto" w:val="clear"/>
            <w:vAlign w:val="center"/>
          </w:tcPr>
          <w:p>
            <w:pPr>
              <w:spacing w:after="0" w:before="0" w:line="264"/>
              <w:jc w:val="center"/>
            </w:pPr>
            <w:r>
              <w:rPr>
                <w:rFonts w:ascii="Arial" w:eastAsia="宋体" w:hAnsi="Arial"/>
                <w:b/>
                <w:bCs/>
                <w:color w:val="1F3A5F"/>
                <w:sz w:val="17"/>
                <w:szCs w:val="17"/>
              </w:rPr>
              <w:t xml:space="preserve">判定</w:t>
            </w:r>
          </w:p>
        </w:tc>
        <w:tc>
          <w:tcPr>
            <w:tcW w:type="dxa" w:w="2089"/>
            <w:shd w:fill="DCE9F7" w:color="auto" w:val="clear"/>
            <w:vAlign w:val="center"/>
          </w:tcPr>
          <w:p>
            <w:pPr>
              <w:spacing w:after="0" w:before="0" w:line="264"/>
              <w:jc w:val="center"/>
            </w:pPr>
            <w:r>
              <w:rPr>
                <w:rFonts w:ascii="Arial" w:eastAsia="宋体" w:hAnsi="Arial"/>
                <w:b/>
                <w:bCs/>
                <w:color w:val="1F3A5F"/>
                <w:sz w:val="17"/>
                <w:szCs w:val="17"/>
              </w:rPr>
              <w:t xml:space="preserve">说明</w:t>
            </w:r>
          </w:p>
        </w:tc>
      </w:tr>
      <w:tr>
        <w:trPr>
          <w:cantSplit/>
          <w:tblHeader w:val="off"/>
        </w:trPr>
        <w:tc>
          <w:tcPr>
            <w:tcW w:type="dxa" w:w="1676"/>
            <w:vAlign w:val="top"/>
          </w:tcPr>
          <w:p>
            <w:pPr>
              <w:spacing w:after="0" w:before="0" w:line="264"/>
              <w:jc w:val="left"/>
            </w:pPr>
            <w:r>
              <w:rPr>
                <w:rFonts w:ascii="Arial" w:eastAsia="宋体" w:hAnsi="Arial"/>
                <w:b w:val="false"/>
                <w:bCs w:val="false"/>
                <w:color w:val="222A33"/>
                <w:sz w:val="17"/>
                <w:szCs w:val="17"/>
              </w:rPr>
              <w:t xml:space="preserve">人参</w:t>
            </w:r>
          </w:p>
        </w:tc>
        <w:tc>
          <w:tcPr>
            <w:tcW w:type="dxa" w:w="1853"/>
            <w:vAlign w:val="top"/>
          </w:tcPr>
          <w:p>
            <w:pPr>
              <w:spacing w:after="0" w:before="0" w:line="264"/>
              <w:jc w:val="left"/>
            </w:pPr>
            <w:r>
              <w:rPr>
                <w:rFonts w:ascii="Arial" w:eastAsia="宋体" w:hAnsi="Arial"/>
                <w:b w:val="false"/>
                <w:bCs w:val="false"/>
                <w:color w:val="222A33"/>
                <w:sz w:val="17"/>
                <w:szCs w:val="17"/>
              </w:rPr>
              <w:t xml:space="preserve">3～9 g</w:t>
            </w:r>
          </w:p>
        </w:tc>
        <w:tc>
          <w:tcPr>
            <w:tcW w:type="dxa" w:w="1818"/>
            <w:vAlign w:val="top"/>
          </w:tcPr>
          <w:p>
            <w:pPr>
              <w:spacing w:after="0" w:before="0" w:line="264"/>
              <w:jc w:val="left"/>
            </w:pPr>
            <w:r>
              <w:rPr>
                <w:rFonts w:ascii="Arial" w:eastAsia="宋体" w:hAnsi="Arial"/>
                <w:b w:val="false"/>
                <w:bCs w:val="false"/>
                <w:color w:val="222A33"/>
                <w:sz w:val="17"/>
                <w:szCs w:val="17"/>
              </w:rPr>
              <w:t xml:space="preserve">9 g</w:t>
            </w:r>
          </w:p>
        </w:tc>
        <w:tc>
          <w:tcPr>
            <w:tcW w:type="dxa" w:w="1748"/>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vAlign w:val="top"/>
          </w:tcPr>
          <w:p>
            <w:pPr>
              <w:spacing w:after="0" w:before="0" w:line="264"/>
              <w:jc w:val="left"/>
            </w:pPr>
            <w:r>
              <w:rPr>
                <w:rFonts w:ascii="Arial" w:eastAsia="宋体" w:hAnsi="Arial"/>
                <w:b w:val="false"/>
                <w:bCs w:val="false"/>
                <w:color w:val="222A33"/>
                <w:sz w:val="17"/>
                <w:szCs w:val="17"/>
              </w:rPr>
              <w:t xml:space="preserve">应另煎兑服</w:t>
            </w:r>
          </w:p>
        </w:tc>
      </w:tr>
      <w:tr>
        <w:trPr>
          <w:cantSplit/>
          <w:tblHeader w:val="off"/>
        </w:trPr>
        <w:tc>
          <w:tcPr>
            <w:tcW w:type="dxa" w:w="1676"/>
            <w:shd w:fill="F5F8FC" w:color="auto" w:val="clear"/>
            <w:vAlign w:val="top"/>
          </w:tcPr>
          <w:p>
            <w:pPr>
              <w:spacing w:after="0" w:before="0" w:line="264"/>
              <w:jc w:val="left"/>
            </w:pPr>
            <w:r>
              <w:rPr>
                <w:rFonts w:ascii="Arial" w:eastAsia="宋体" w:hAnsi="Arial"/>
                <w:b w:val="false"/>
                <w:bCs w:val="false"/>
                <w:color w:val="222A33"/>
                <w:sz w:val="17"/>
                <w:szCs w:val="17"/>
              </w:rPr>
              <w:t xml:space="preserve">五灵脂</w:t>
            </w:r>
          </w:p>
        </w:tc>
        <w:tc>
          <w:tcPr>
            <w:tcW w:type="dxa" w:w="1853"/>
            <w:shd w:fill="F5F8FC" w:color="auto" w:val="clear"/>
            <w:vAlign w:val="top"/>
          </w:tcPr>
          <w:p>
            <w:pPr>
              <w:spacing w:after="0" w:before="0" w:line="264"/>
              <w:jc w:val="left"/>
            </w:pPr>
            <w:r>
              <w:rPr>
                <w:rFonts w:ascii="Arial" w:eastAsia="宋体" w:hAnsi="Arial"/>
                <w:b w:val="false"/>
                <w:bCs w:val="false"/>
                <w:color w:val="222A33"/>
                <w:sz w:val="17"/>
                <w:szCs w:val="17"/>
              </w:rPr>
              <w:t xml:space="preserve">5～10 g</w:t>
            </w:r>
          </w:p>
        </w:tc>
        <w:tc>
          <w:tcPr>
            <w:tcW w:type="dxa" w:w="1818"/>
            <w:shd w:fill="F5F8FC" w:color="auto" w:val="clear"/>
            <w:vAlign w:val="top"/>
          </w:tcPr>
          <w:p>
            <w:pPr>
              <w:spacing w:after="0" w:before="0" w:line="264"/>
              <w:jc w:val="left"/>
            </w:pPr>
            <w:r>
              <w:rPr>
                <w:rFonts w:ascii="Arial" w:eastAsia="宋体" w:hAnsi="Arial"/>
                <w:b w:val="false"/>
                <w:bCs w:val="false"/>
                <w:color w:val="222A33"/>
                <w:sz w:val="17"/>
                <w:szCs w:val="17"/>
              </w:rPr>
              <w:t xml:space="preserve">10 g</w:t>
            </w:r>
          </w:p>
        </w:tc>
        <w:tc>
          <w:tcPr>
            <w:tcW w:type="dxa" w:w="1748"/>
            <w:shd w:fill="F5F8FC" w:color="auto" w:val="clear"/>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shd w:fill="F5F8FC" w:color="auto" w:val="clear"/>
            <w:vAlign w:val="top"/>
          </w:tcPr>
          <w:p>
            <w:pPr>
              <w:spacing w:after="0" w:before="0" w:line="264"/>
              <w:jc w:val="left"/>
            </w:pPr>
            <w:r>
              <w:rPr>
                <w:rFonts w:ascii="Arial" w:eastAsia="宋体" w:hAnsi="Arial"/>
                <w:b w:val="false"/>
                <w:bCs w:val="false"/>
                <w:color w:val="222A33"/>
                <w:sz w:val="17"/>
                <w:szCs w:val="17"/>
              </w:rPr>
              <w:t xml:space="preserve">应包煎；与人参属十九畏</w:t>
            </w:r>
          </w:p>
        </w:tc>
      </w:tr>
      <w:tr>
        <w:trPr>
          <w:cantSplit/>
          <w:tblHeader w:val="off"/>
        </w:trPr>
        <w:tc>
          <w:tcPr>
            <w:tcW w:type="dxa" w:w="1676"/>
            <w:vAlign w:val="top"/>
          </w:tcPr>
          <w:p>
            <w:pPr>
              <w:spacing w:after="0" w:before="0" w:line="264"/>
              <w:jc w:val="left"/>
            </w:pPr>
            <w:r>
              <w:rPr>
                <w:rFonts w:ascii="Arial" w:eastAsia="宋体" w:hAnsi="Arial"/>
                <w:b w:val="false"/>
                <w:bCs w:val="false"/>
                <w:color w:val="222A33"/>
                <w:sz w:val="17"/>
                <w:szCs w:val="17"/>
              </w:rPr>
              <w:t xml:space="preserve">麸炒白术</w:t>
            </w:r>
          </w:p>
        </w:tc>
        <w:tc>
          <w:tcPr>
            <w:tcW w:type="dxa" w:w="1853"/>
            <w:vAlign w:val="top"/>
          </w:tcPr>
          <w:p>
            <w:pPr>
              <w:spacing w:after="0" w:before="0" w:line="264"/>
              <w:jc w:val="left"/>
            </w:pPr>
            <w:r>
              <w:rPr>
                <w:rFonts w:ascii="Arial" w:eastAsia="宋体" w:hAnsi="Arial"/>
                <w:b w:val="false"/>
                <w:bCs w:val="false"/>
                <w:color w:val="222A33"/>
                <w:sz w:val="17"/>
                <w:szCs w:val="17"/>
              </w:rPr>
              <w:t xml:space="preserve">6～12 g</w:t>
            </w:r>
          </w:p>
        </w:tc>
        <w:tc>
          <w:tcPr>
            <w:tcW w:type="dxa" w:w="1818"/>
            <w:vAlign w:val="top"/>
          </w:tcPr>
          <w:p>
            <w:pPr>
              <w:spacing w:after="0" w:before="0" w:line="264"/>
              <w:jc w:val="left"/>
            </w:pPr>
            <w:r>
              <w:rPr>
                <w:rFonts w:ascii="Arial" w:eastAsia="宋体" w:hAnsi="Arial"/>
                <w:b w:val="false"/>
                <w:bCs w:val="false"/>
                <w:color w:val="222A33"/>
                <w:sz w:val="17"/>
                <w:szCs w:val="17"/>
              </w:rPr>
              <w:t xml:space="preserve">12 g</w:t>
            </w:r>
          </w:p>
        </w:tc>
        <w:tc>
          <w:tcPr>
            <w:tcW w:type="dxa" w:w="1748"/>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676"/>
            <w:shd w:fill="F5F8FC" w:color="auto" w:val="clear"/>
            <w:vAlign w:val="top"/>
          </w:tcPr>
          <w:p>
            <w:pPr>
              <w:spacing w:after="0" w:before="0" w:line="264"/>
              <w:jc w:val="left"/>
            </w:pPr>
            <w:r>
              <w:rPr>
                <w:rFonts w:ascii="Arial" w:eastAsia="宋体" w:hAnsi="Arial"/>
                <w:b w:val="false"/>
                <w:bCs w:val="false"/>
                <w:color w:val="222A33"/>
                <w:sz w:val="17"/>
                <w:szCs w:val="17"/>
              </w:rPr>
              <w:t xml:space="preserve">茯苓</w:t>
            </w:r>
          </w:p>
        </w:tc>
        <w:tc>
          <w:tcPr>
            <w:tcW w:type="dxa" w:w="1853"/>
            <w:shd w:fill="F5F8FC" w:color="auto" w:val="clear"/>
            <w:vAlign w:val="top"/>
          </w:tcPr>
          <w:p>
            <w:pPr>
              <w:spacing w:after="0" w:before="0" w:line="264"/>
              <w:jc w:val="left"/>
            </w:pPr>
            <w:r>
              <w:rPr>
                <w:rFonts w:ascii="Arial" w:eastAsia="宋体" w:hAnsi="Arial"/>
                <w:b w:val="false"/>
                <w:bCs w:val="false"/>
                <w:color w:val="222A33"/>
                <w:sz w:val="17"/>
                <w:szCs w:val="17"/>
              </w:rPr>
              <w:t xml:space="preserve">10～15 g</w:t>
            </w:r>
          </w:p>
        </w:tc>
        <w:tc>
          <w:tcPr>
            <w:tcW w:type="dxa" w:w="1818"/>
            <w:shd w:fill="F5F8FC" w:color="auto" w:val="clear"/>
            <w:vAlign w:val="top"/>
          </w:tcPr>
          <w:p>
            <w:pPr>
              <w:spacing w:after="0" w:before="0" w:line="264"/>
              <w:jc w:val="left"/>
            </w:pPr>
            <w:r>
              <w:rPr>
                <w:rFonts w:ascii="Arial" w:eastAsia="宋体" w:hAnsi="Arial"/>
                <w:b w:val="false"/>
                <w:bCs w:val="false"/>
                <w:color w:val="222A33"/>
                <w:sz w:val="17"/>
                <w:szCs w:val="17"/>
              </w:rPr>
              <w:t xml:space="preserve">15 g</w:t>
            </w:r>
          </w:p>
        </w:tc>
        <w:tc>
          <w:tcPr>
            <w:tcW w:type="dxa" w:w="1748"/>
            <w:shd w:fill="F5F8FC" w:color="auto" w:val="clear"/>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shd w:fill="F5F8FC" w:color="auto" w:val="clear"/>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676"/>
            <w:vAlign w:val="top"/>
          </w:tcPr>
          <w:p>
            <w:pPr>
              <w:spacing w:after="0" w:before="0" w:line="264"/>
              <w:jc w:val="left"/>
            </w:pPr>
            <w:r>
              <w:rPr>
                <w:rFonts w:ascii="Arial" w:eastAsia="宋体" w:hAnsi="Arial"/>
                <w:b w:val="false"/>
                <w:bCs w:val="false"/>
                <w:color w:val="222A33"/>
                <w:sz w:val="17"/>
                <w:szCs w:val="17"/>
              </w:rPr>
              <w:t xml:space="preserve">陈皮</w:t>
            </w:r>
          </w:p>
        </w:tc>
        <w:tc>
          <w:tcPr>
            <w:tcW w:type="dxa" w:w="1853"/>
            <w:vAlign w:val="top"/>
          </w:tcPr>
          <w:p>
            <w:pPr>
              <w:spacing w:after="0" w:before="0" w:line="264"/>
              <w:jc w:val="left"/>
            </w:pPr>
            <w:r>
              <w:rPr>
                <w:rFonts w:ascii="Arial" w:eastAsia="宋体" w:hAnsi="Arial"/>
                <w:b w:val="false"/>
                <w:bCs w:val="false"/>
                <w:color w:val="222A33"/>
                <w:sz w:val="17"/>
                <w:szCs w:val="17"/>
              </w:rPr>
              <w:t xml:space="preserve">3～10 g</w:t>
            </w:r>
          </w:p>
        </w:tc>
        <w:tc>
          <w:tcPr>
            <w:tcW w:type="dxa" w:w="1818"/>
            <w:vAlign w:val="top"/>
          </w:tcPr>
          <w:p>
            <w:pPr>
              <w:spacing w:after="0" w:before="0" w:line="264"/>
              <w:jc w:val="left"/>
            </w:pPr>
            <w:r>
              <w:rPr>
                <w:rFonts w:ascii="Arial" w:eastAsia="宋体" w:hAnsi="Arial"/>
                <w:b w:val="false"/>
                <w:bCs w:val="false"/>
                <w:color w:val="222A33"/>
                <w:sz w:val="17"/>
                <w:szCs w:val="17"/>
              </w:rPr>
              <w:t xml:space="preserve">9 g</w:t>
            </w:r>
          </w:p>
        </w:tc>
        <w:tc>
          <w:tcPr>
            <w:tcW w:type="dxa" w:w="1748"/>
            <w:vAlign w:val="top"/>
          </w:tcPr>
          <w:p>
            <w:pPr>
              <w:spacing w:after="0" w:before="0" w:line="264"/>
              <w:jc w:val="left"/>
            </w:pPr>
            <w:r>
              <w:rPr>
                <w:rFonts w:ascii="Arial" w:eastAsia="宋体" w:hAnsi="Arial"/>
                <w:b w:val="false"/>
                <w:bCs w:val="false"/>
                <w:color w:val="222A33"/>
                <w:sz w:val="17"/>
                <w:szCs w:val="17"/>
              </w:rPr>
              <w:t xml:space="preserve">通过</w:t>
            </w:r>
          </w:p>
        </w:tc>
        <w:tc>
          <w:tcPr>
            <w:tcW w:type="dxa" w:w="2089"/>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676"/>
            <w:shd w:fill="F5F8FC" w:color="auto" w:val="clear"/>
            <w:vAlign w:val="top"/>
          </w:tcPr>
          <w:p>
            <w:pPr>
              <w:spacing w:after="0" w:before="0" w:line="264"/>
              <w:jc w:val="left"/>
            </w:pPr>
            <w:r>
              <w:rPr>
                <w:rFonts w:ascii="Arial" w:eastAsia="宋体" w:hAnsi="Arial"/>
                <w:b w:val="false"/>
                <w:bCs w:val="false"/>
                <w:color w:val="222A33"/>
                <w:sz w:val="17"/>
                <w:szCs w:val="17"/>
              </w:rPr>
              <w:t xml:space="preserve">法半夏</w:t>
            </w:r>
          </w:p>
        </w:tc>
        <w:tc>
          <w:tcPr>
            <w:tcW w:type="dxa" w:w="1853"/>
            <w:shd w:fill="F5F8FC" w:color="auto" w:val="clear"/>
            <w:vAlign w:val="top"/>
          </w:tcPr>
          <w:p>
            <w:pPr>
              <w:spacing w:after="0" w:before="0" w:line="264"/>
              <w:jc w:val="left"/>
            </w:pPr>
            <w:r>
              <w:rPr>
                <w:rFonts w:ascii="Arial" w:eastAsia="宋体" w:hAnsi="Arial"/>
                <w:b w:val="false"/>
                <w:bCs w:val="false"/>
                <w:color w:val="222A33"/>
                <w:sz w:val="17"/>
                <w:szCs w:val="17"/>
              </w:rPr>
              <w:t xml:space="preserve">3～9 g</w:t>
            </w:r>
          </w:p>
        </w:tc>
        <w:tc>
          <w:tcPr>
            <w:tcW w:type="dxa" w:w="1818"/>
            <w:shd w:fill="F5F8FC" w:color="auto" w:val="clear"/>
            <w:vAlign w:val="top"/>
          </w:tcPr>
          <w:p>
            <w:pPr>
              <w:spacing w:after="0" w:before="0" w:line="264"/>
              <w:jc w:val="left"/>
            </w:pPr>
            <w:r>
              <w:rPr>
                <w:rFonts w:ascii="Arial" w:eastAsia="宋体" w:hAnsi="Arial"/>
                <w:b w:val="false"/>
                <w:bCs w:val="false"/>
                <w:color w:val="222A33"/>
                <w:sz w:val="17"/>
                <w:szCs w:val="17"/>
              </w:rPr>
              <w:t xml:space="preserve">9 g</w:t>
            </w:r>
          </w:p>
        </w:tc>
        <w:tc>
          <w:tcPr>
            <w:tcW w:type="dxa" w:w="1748"/>
            <w:shd w:fill="F5F8FC" w:color="auto" w:val="clear"/>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shd w:fill="F5F8FC" w:color="auto" w:val="clear"/>
            <w:vAlign w:val="top"/>
          </w:tcPr>
          <w:p>
            <w:pPr>
              <w:spacing w:after="0" w:before="0" w:line="264"/>
              <w:jc w:val="left"/>
            </w:pPr>
            <w:r>
              <w:rPr>
                <w:rFonts w:ascii="Arial" w:eastAsia="宋体" w:hAnsi="Arial"/>
                <w:b w:val="false"/>
                <w:bCs w:val="false"/>
                <w:color w:val="222A33"/>
                <w:sz w:val="17"/>
                <w:szCs w:val="17"/>
              </w:rPr>
              <w:t xml:space="preserve">炮制品，非生半夏</w:t>
            </w:r>
          </w:p>
        </w:tc>
      </w:tr>
      <w:tr>
        <w:trPr>
          <w:cantSplit/>
          <w:tblHeader w:val="off"/>
        </w:trPr>
        <w:tc>
          <w:tcPr>
            <w:tcW w:type="dxa" w:w="1676"/>
            <w:vAlign w:val="top"/>
          </w:tcPr>
          <w:p>
            <w:pPr>
              <w:spacing w:after="0" w:before="0" w:line="264"/>
              <w:jc w:val="left"/>
            </w:pPr>
            <w:r>
              <w:rPr>
                <w:rFonts w:ascii="Arial" w:eastAsia="宋体" w:hAnsi="Arial"/>
                <w:b w:val="false"/>
                <w:bCs w:val="false"/>
                <w:color w:val="222A33"/>
                <w:sz w:val="17"/>
                <w:szCs w:val="17"/>
              </w:rPr>
              <w:t xml:space="preserve">醋炙延胡索</w:t>
            </w:r>
          </w:p>
        </w:tc>
        <w:tc>
          <w:tcPr>
            <w:tcW w:type="dxa" w:w="1853"/>
            <w:vAlign w:val="top"/>
          </w:tcPr>
          <w:p>
            <w:pPr>
              <w:spacing w:after="0" w:before="0" w:line="264"/>
              <w:jc w:val="left"/>
            </w:pPr>
            <w:r>
              <w:rPr>
                <w:rFonts w:ascii="Arial" w:eastAsia="宋体" w:hAnsi="Arial"/>
                <w:b w:val="false"/>
                <w:bCs w:val="false"/>
                <w:color w:val="222A33"/>
                <w:sz w:val="17"/>
                <w:szCs w:val="17"/>
              </w:rPr>
              <w:t xml:space="preserve">3～10 g</w:t>
            </w:r>
          </w:p>
        </w:tc>
        <w:tc>
          <w:tcPr>
            <w:tcW w:type="dxa" w:w="1818"/>
            <w:vAlign w:val="top"/>
          </w:tcPr>
          <w:p>
            <w:pPr>
              <w:spacing w:after="0" w:before="0" w:line="264"/>
              <w:jc w:val="left"/>
            </w:pPr>
            <w:r>
              <w:rPr>
                <w:rFonts w:ascii="Arial" w:eastAsia="宋体" w:hAnsi="Arial"/>
                <w:b w:val="false"/>
                <w:bCs w:val="false"/>
                <w:color w:val="222A33"/>
                <w:sz w:val="17"/>
                <w:szCs w:val="17"/>
              </w:rPr>
              <w:t xml:space="preserve">10 g</w:t>
            </w:r>
          </w:p>
        </w:tc>
        <w:tc>
          <w:tcPr>
            <w:tcW w:type="dxa" w:w="1748"/>
            <w:vAlign w:val="top"/>
          </w:tcPr>
          <w:p>
            <w:pPr>
              <w:spacing w:after="0" w:before="0" w:line="264"/>
              <w:jc w:val="left"/>
            </w:pPr>
            <w:r>
              <w:rPr>
                <w:rFonts w:ascii="Arial" w:eastAsia="宋体" w:hAnsi="Arial"/>
                <w:b w:val="false"/>
                <w:bCs w:val="false"/>
                <w:color w:val="222A33"/>
                <w:sz w:val="17"/>
                <w:szCs w:val="17"/>
              </w:rPr>
              <w:t xml:space="preserve">通过（上限）</w:t>
            </w:r>
          </w:p>
        </w:tc>
        <w:tc>
          <w:tcPr>
            <w:tcW w:type="dxa" w:w="2089"/>
            <w:vAlign w:val="top"/>
          </w:tcPr>
          <w:p>
            <w:pPr>
              <w:spacing w:after="0" w:before="0" w:line="264"/>
              <w:jc w:val="left"/>
            </w:pPr>
            <w:r>
              <w:rPr>
                <w:rFonts w:ascii="Arial" w:eastAsia="宋体" w:hAnsi="Arial"/>
                <w:b w:val="false"/>
                <w:bCs w:val="false"/>
                <w:color w:val="222A33"/>
                <w:sz w:val="17"/>
                <w:szCs w:val="17"/>
              </w:rPr>
              <w:t xml:space="preserve">—</w:t>
            </w:r>
          </w:p>
        </w:tc>
      </w:tr>
      <w:tr>
        <w:trPr>
          <w:cantSplit/>
          <w:tblHeader w:val="off"/>
        </w:trPr>
        <w:tc>
          <w:tcPr>
            <w:tcW w:type="dxa" w:w="1676"/>
            <w:shd w:fill="F5F8FC" w:color="auto" w:val="clear"/>
            <w:vAlign w:val="top"/>
          </w:tcPr>
          <w:p>
            <w:pPr>
              <w:spacing w:after="0" w:before="0" w:line="264"/>
              <w:jc w:val="left"/>
            </w:pPr>
            <w:r>
              <w:rPr>
                <w:rFonts w:ascii="Arial" w:eastAsia="宋体" w:hAnsi="Arial"/>
                <w:b w:val="false"/>
                <w:bCs w:val="false"/>
                <w:color w:val="222A33"/>
                <w:sz w:val="17"/>
                <w:szCs w:val="17"/>
              </w:rPr>
              <w:t xml:space="preserve">制吴茱萸</w:t>
            </w:r>
          </w:p>
        </w:tc>
        <w:tc>
          <w:tcPr>
            <w:tcW w:type="dxa" w:w="1853"/>
            <w:shd w:fill="F5F8FC" w:color="auto" w:val="clear"/>
            <w:vAlign w:val="top"/>
          </w:tcPr>
          <w:p>
            <w:pPr>
              <w:spacing w:after="0" w:before="0" w:line="264"/>
              <w:jc w:val="left"/>
            </w:pPr>
            <w:r>
              <w:rPr>
                <w:rFonts w:ascii="Arial" w:eastAsia="宋体" w:hAnsi="Arial"/>
                <w:b w:val="false"/>
                <w:bCs w:val="false"/>
                <w:color w:val="222A33"/>
                <w:sz w:val="17"/>
                <w:szCs w:val="17"/>
              </w:rPr>
              <w:t xml:space="preserve">2～5 g</w:t>
            </w:r>
          </w:p>
        </w:tc>
        <w:tc>
          <w:tcPr>
            <w:tcW w:type="dxa" w:w="1818"/>
            <w:shd w:fill="F5F8FC" w:color="auto" w:val="clear"/>
            <w:vAlign w:val="top"/>
          </w:tcPr>
          <w:p>
            <w:pPr>
              <w:spacing w:after="0" w:before="0" w:line="264"/>
              <w:jc w:val="left"/>
            </w:pPr>
            <w:r>
              <w:rPr>
                <w:rFonts w:ascii="Arial" w:eastAsia="宋体" w:hAnsi="Arial"/>
                <w:b w:val="false"/>
                <w:bCs w:val="false"/>
                <w:color w:val="222A33"/>
                <w:sz w:val="17"/>
                <w:szCs w:val="17"/>
              </w:rPr>
              <w:t xml:space="preserve">10 g</w:t>
            </w:r>
          </w:p>
        </w:tc>
        <w:tc>
          <w:tcPr>
            <w:tcW w:type="dxa" w:w="1748"/>
            <w:shd w:fill="F5F8FC" w:color="auto" w:val="clear"/>
            <w:vAlign w:val="top"/>
          </w:tcPr>
          <w:p>
            <w:pPr>
              <w:spacing w:after="0" w:before="0" w:line="264"/>
              <w:jc w:val="left"/>
            </w:pPr>
            <w:r>
              <w:rPr>
                <w:rFonts w:ascii="Arial" w:eastAsia="宋体" w:hAnsi="Arial"/>
                <w:b/>
                <w:bCs/>
                <w:color w:val="222A33"/>
                <w:sz w:val="17"/>
                <w:szCs w:val="17"/>
              </w:rPr>
              <w:t xml:space="preserve">不通过</w:t>
            </w:r>
          </w:p>
        </w:tc>
        <w:tc>
          <w:tcPr>
            <w:tcW w:type="dxa" w:w="2089"/>
            <w:shd w:fill="F5F8FC" w:color="auto" w:val="clear"/>
            <w:vAlign w:val="top"/>
          </w:tcPr>
          <w:p>
            <w:pPr>
              <w:spacing w:after="0" w:before="0" w:line="264"/>
              <w:jc w:val="left"/>
            </w:pPr>
            <w:r>
              <w:rPr>
                <w:rFonts w:ascii="Arial" w:eastAsia="宋体" w:hAnsi="Arial"/>
                <w:b w:val="false"/>
                <w:bCs w:val="false"/>
                <w:color w:val="222A33"/>
                <w:sz w:val="17"/>
                <w:szCs w:val="17"/>
              </w:rPr>
              <w:t xml:space="preserve">超上限 2 倍，有小毒</w:t>
            </w:r>
          </w:p>
        </w:tc>
      </w:tr>
      <w:tr>
        <w:trPr>
          <w:cantSplit/>
          <w:tblHeader w:val="off"/>
        </w:trPr>
        <w:tc>
          <w:tcPr>
            <w:tcW w:type="dxa" w:w="1676"/>
            <w:vAlign w:val="top"/>
          </w:tcPr>
          <w:p>
            <w:pPr>
              <w:spacing w:after="0" w:before="0" w:line="264"/>
              <w:jc w:val="left"/>
            </w:pPr>
            <w:r>
              <w:rPr>
                <w:rFonts w:ascii="Arial" w:eastAsia="宋体" w:hAnsi="Arial"/>
                <w:b w:val="false"/>
                <w:bCs w:val="false"/>
                <w:color w:val="222A33"/>
                <w:sz w:val="17"/>
                <w:szCs w:val="17"/>
              </w:rPr>
              <w:t xml:space="preserve">炙甘草</w:t>
            </w:r>
          </w:p>
        </w:tc>
        <w:tc>
          <w:tcPr>
            <w:tcW w:type="dxa" w:w="1853"/>
            <w:vAlign w:val="top"/>
          </w:tcPr>
          <w:p>
            <w:pPr>
              <w:spacing w:after="0" w:before="0" w:line="264"/>
              <w:jc w:val="left"/>
            </w:pPr>
            <w:r>
              <w:rPr>
                <w:rFonts w:ascii="Arial" w:eastAsia="宋体" w:hAnsi="Arial"/>
                <w:b w:val="false"/>
                <w:bCs w:val="false"/>
                <w:color w:val="222A33"/>
                <w:sz w:val="17"/>
                <w:szCs w:val="17"/>
              </w:rPr>
              <w:t xml:space="preserve">2～10 g</w:t>
            </w:r>
          </w:p>
        </w:tc>
        <w:tc>
          <w:tcPr>
            <w:tcW w:type="dxa" w:w="1818"/>
            <w:vAlign w:val="top"/>
          </w:tcPr>
          <w:p>
            <w:pPr>
              <w:spacing w:after="0" w:before="0" w:line="264"/>
              <w:jc w:val="left"/>
            </w:pPr>
            <w:r>
              <w:rPr>
                <w:rFonts w:ascii="Arial" w:eastAsia="宋体" w:hAnsi="Arial"/>
                <w:b w:val="false"/>
                <w:bCs w:val="false"/>
                <w:color w:val="222A33"/>
                <w:sz w:val="17"/>
                <w:szCs w:val="17"/>
              </w:rPr>
              <w:t xml:space="preserve">6 g</w:t>
            </w:r>
          </w:p>
        </w:tc>
        <w:tc>
          <w:tcPr>
            <w:tcW w:type="dxa" w:w="1748"/>
            <w:vAlign w:val="top"/>
          </w:tcPr>
          <w:p>
            <w:pPr>
              <w:spacing w:after="0" w:before="0" w:line="264"/>
              <w:jc w:val="left"/>
            </w:pPr>
            <w:r>
              <w:rPr>
                <w:rFonts w:ascii="Arial" w:eastAsia="宋体" w:hAnsi="Arial"/>
                <w:b w:val="false"/>
                <w:bCs w:val="false"/>
                <w:color w:val="222A33"/>
                <w:sz w:val="17"/>
                <w:szCs w:val="17"/>
              </w:rPr>
              <w:t xml:space="preserve">通过</w:t>
            </w:r>
          </w:p>
        </w:tc>
        <w:tc>
          <w:tcPr>
            <w:tcW w:type="dxa" w:w="2089"/>
            <w:vAlign w:val="top"/>
          </w:tcPr>
          <w:p>
            <w:pPr>
              <w:spacing w:after="0" w:before="0" w:line="264"/>
              <w:jc w:val="left"/>
            </w:pPr>
            <w:r>
              <w:rPr>
                <w:rFonts w:ascii="Arial" w:eastAsia="宋体" w:hAnsi="Arial"/>
                <w:b w:val="false"/>
                <w:bCs w:val="false"/>
                <w:color w:val="222A33"/>
                <w:sz w:val="17"/>
                <w:szCs w:val="17"/>
              </w:rPr>
              <w:t xml:space="preserve">高血压患者需监测</w:t>
            </w:r>
          </w:p>
        </w:tc>
      </w:tr>
      <w:tr>
        <w:trPr>
          <w:cantSplit/>
          <w:tblHeader w:val="off"/>
        </w:trPr>
        <w:tc>
          <w:tcPr>
            <w:tcW w:type="dxa" w:w="1676"/>
            <w:shd w:fill="F5F8FC" w:color="auto" w:val="clear"/>
            <w:vAlign w:val="top"/>
          </w:tcPr>
          <w:p>
            <w:pPr>
              <w:spacing w:after="0" w:before="0" w:line="264"/>
              <w:jc w:val="left"/>
            </w:pPr>
            <w:r>
              <w:rPr>
                <w:rFonts w:ascii="Arial" w:eastAsia="宋体" w:hAnsi="Arial"/>
                <w:b w:val="false"/>
                <w:bCs w:val="false"/>
                <w:color w:val="222A33"/>
                <w:sz w:val="17"/>
                <w:szCs w:val="17"/>
              </w:rPr>
              <w:t xml:space="preserve">生姜</w:t>
            </w:r>
          </w:p>
        </w:tc>
        <w:tc>
          <w:tcPr>
            <w:tcW w:type="dxa" w:w="1853"/>
            <w:shd w:fill="F5F8FC" w:color="auto" w:val="clear"/>
            <w:vAlign w:val="top"/>
          </w:tcPr>
          <w:p>
            <w:pPr>
              <w:spacing w:after="0" w:before="0" w:line="264"/>
              <w:jc w:val="left"/>
            </w:pPr>
            <w:r>
              <w:rPr>
                <w:rFonts w:ascii="Arial" w:eastAsia="宋体" w:hAnsi="Arial"/>
                <w:b w:val="false"/>
                <w:bCs w:val="false"/>
                <w:color w:val="222A33"/>
                <w:sz w:val="17"/>
                <w:szCs w:val="17"/>
              </w:rPr>
              <w:t xml:space="preserve">3～10 g</w:t>
            </w:r>
          </w:p>
        </w:tc>
        <w:tc>
          <w:tcPr>
            <w:tcW w:type="dxa" w:w="1818"/>
            <w:shd w:fill="F5F8FC" w:color="auto" w:val="clear"/>
            <w:vAlign w:val="top"/>
          </w:tcPr>
          <w:p>
            <w:pPr>
              <w:spacing w:after="0" w:before="0" w:line="264"/>
              <w:jc w:val="left"/>
            </w:pPr>
            <w:r>
              <w:rPr>
                <w:rFonts w:ascii="Arial" w:eastAsia="宋体" w:hAnsi="Arial"/>
                <w:b w:val="false"/>
                <w:bCs w:val="false"/>
                <w:color w:val="222A33"/>
                <w:sz w:val="17"/>
                <w:szCs w:val="17"/>
              </w:rPr>
              <w:t xml:space="preserve">3 片（约 9 g）</w:t>
            </w:r>
          </w:p>
        </w:tc>
        <w:tc>
          <w:tcPr>
            <w:tcW w:type="dxa" w:w="1748"/>
            <w:shd w:fill="F5F8FC" w:color="auto" w:val="clear"/>
            <w:vAlign w:val="top"/>
          </w:tcPr>
          <w:p>
            <w:pPr>
              <w:spacing w:after="0" w:before="0" w:line="264"/>
              <w:jc w:val="left"/>
            </w:pPr>
            <w:r>
              <w:rPr>
                <w:rFonts w:ascii="Arial" w:eastAsia="宋体" w:hAnsi="Arial"/>
                <w:b w:val="false"/>
                <w:bCs w:val="false"/>
                <w:color w:val="222A33"/>
                <w:sz w:val="17"/>
                <w:szCs w:val="17"/>
              </w:rPr>
              <w:t xml:space="preserve">通过</w:t>
            </w:r>
          </w:p>
        </w:tc>
        <w:tc>
          <w:tcPr>
            <w:tcW w:type="dxa" w:w="2089"/>
            <w:shd w:fill="F5F8FC" w:color="auto" w:val="clear"/>
            <w:vAlign w:val="top"/>
          </w:tcPr>
          <w:p>
            <w:pPr>
              <w:spacing w:after="0" w:before="0" w:line="264"/>
              <w:jc w:val="left"/>
            </w:pPr>
            <w:r>
              <w:rPr>
                <w:rFonts w:ascii="Arial" w:eastAsia="宋体" w:hAnsi="Arial"/>
                <w:b w:val="false"/>
                <w:bCs w:val="false"/>
                <w:color w:val="222A33"/>
                <w:sz w:val="17"/>
                <w:szCs w:val="17"/>
              </w:rPr>
              <w:t xml:space="preserve">按切片大小调整</w:t>
            </w:r>
          </w:p>
        </w:tc>
      </w:tr>
    </w:tbl>
    <w:p>
      <w:pPr>
        <w:spacing w:after="0" w:before="0" w:line="80"/>
      </w:pPr>
    </w:p>
    <w:p>
      <w:pPr>
        <w:spacing w:after="120" w:before="0" w:line="360"/>
        <w:ind w:firstLine="420"/>
        <w:jc w:val="both"/>
      </w:pPr>
      <w:r>
        <w:rPr>
          <w:rFonts w:ascii="Times New Roman" w:eastAsia="宋体" w:hAnsi="Times New Roman"/>
          <w:b w:val="false"/>
          <w:bCs w:val="false"/>
          <w:color w:val="222A33"/>
          <w:sz w:val="21"/>
          <w:szCs w:val="21"/>
        </w:rPr>
        <w:t xml:space="preserve">&gt; 五灵脂如未被现行版《中国药典》收载，应按现行药品标准或地方中药饮片炮制规范执行；上表用量为通用教材与常规炮制规范范围。</w:t>
      </w:r>
    </w:p>
    <w:p>
      <w:pPr>
        <w:pStyle w:val="Heading2"/>
        <w:keepNext/>
        <w:pBdr>
          <w:bottom w:val="single" w:color="D6E3F0" w:sz="6" w:space="2"/>
        </w:pBdr>
      </w:pPr>
      <w:bookmarkStart w:name="_Toc15" w:id="15"/>
      <w:r>
        <w:rPr>
          <w:rFonts w:ascii="Arial" w:eastAsia="黑体" w:hAnsi="Arial"/>
          <w:b/>
          <w:bCs/>
          <w:color w:val="2E5C8A"/>
          <w:sz w:val="28"/>
          <w:szCs w:val="28"/>
        </w:rPr>
        <w:t xml:space="preserve">3.7 风险分级</w:t>
      </w:r>
      <w:bookmarkEnd w:id="15"/>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2232"/>
        <w:gridCol w:w="1634"/>
        <w:gridCol w:w="3085"/>
        <w:gridCol w:w="2233"/>
      </w:tblGrid>
      <w:tr>
        <w:trPr>
          <w:cantSplit/>
          <w:tblHeader/>
        </w:trPr>
        <w:tc>
          <w:tcPr>
            <w:tcW w:type="dxa" w:w="2232"/>
            <w:shd w:fill="DCE9F7" w:color="auto" w:val="clear"/>
            <w:vAlign w:val="center"/>
          </w:tcPr>
          <w:p>
            <w:pPr>
              <w:spacing w:after="0" w:before="0" w:line="264"/>
              <w:jc w:val="center"/>
            </w:pPr>
            <w:r>
              <w:rPr>
                <w:rFonts w:ascii="Arial" w:eastAsia="宋体" w:hAnsi="Arial"/>
                <w:b/>
                <w:bCs/>
                <w:color w:val="1F3A5F"/>
                <w:sz w:val="18"/>
                <w:szCs w:val="18"/>
              </w:rPr>
              <w:t xml:space="preserve">问题</w:t>
            </w:r>
          </w:p>
        </w:tc>
        <w:tc>
          <w:tcPr>
            <w:tcW w:type="dxa" w:w="1634"/>
            <w:shd w:fill="DCE9F7" w:color="auto" w:val="clear"/>
            <w:vAlign w:val="center"/>
          </w:tcPr>
          <w:p>
            <w:pPr>
              <w:spacing w:after="0" w:before="0" w:line="264"/>
              <w:jc w:val="center"/>
            </w:pPr>
            <w:r>
              <w:rPr>
                <w:rFonts w:ascii="Arial" w:eastAsia="宋体" w:hAnsi="Arial"/>
                <w:b/>
                <w:bCs/>
                <w:color w:val="1F3A5F"/>
                <w:sz w:val="18"/>
                <w:szCs w:val="18"/>
              </w:rPr>
              <w:t xml:space="preserve">风险等级</w:t>
            </w:r>
          </w:p>
        </w:tc>
        <w:tc>
          <w:tcPr>
            <w:tcW w:type="dxa" w:w="3085"/>
            <w:shd w:fill="DCE9F7" w:color="auto" w:val="clear"/>
            <w:vAlign w:val="center"/>
          </w:tcPr>
          <w:p>
            <w:pPr>
              <w:spacing w:after="0" w:before="0" w:line="264"/>
              <w:jc w:val="center"/>
            </w:pPr>
            <w:r>
              <w:rPr>
                <w:rFonts w:ascii="Arial" w:eastAsia="宋体" w:hAnsi="Arial"/>
                <w:b/>
                <w:bCs/>
                <w:color w:val="1F3A5F"/>
                <w:sz w:val="18"/>
                <w:szCs w:val="18"/>
              </w:rPr>
              <w:t xml:space="preserve">可能后果</w:t>
            </w:r>
          </w:p>
        </w:tc>
        <w:tc>
          <w:tcPr>
            <w:tcW w:type="dxa" w:w="2233"/>
            <w:shd w:fill="DCE9F7" w:color="auto" w:val="clear"/>
            <w:vAlign w:val="center"/>
          </w:tcPr>
          <w:p>
            <w:pPr>
              <w:spacing w:after="0" w:before="0" w:line="264"/>
              <w:jc w:val="center"/>
            </w:pPr>
            <w:r>
              <w:rPr>
                <w:rFonts w:ascii="Arial" w:eastAsia="宋体" w:hAnsi="Arial"/>
                <w:b/>
                <w:bCs/>
                <w:color w:val="1F3A5F"/>
                <w:sz w:val="18"/>
                <w:szCs w:val="18"/>
              </w:rPr>
              <w:t xml:space="preserve">处理</w:t>
            </w:r>
          </w:p>
        </w:tc>
      </w:tr>
      <w:tr>
        <w:trPr>
          <w:cantSplit/>
          <w:tblHeader w:val="off"/>
        </w:trPr>
        <w:tc>
          <w:tcPr>
            <w:tcW w:type="dxa" w:w="2232"/>
            <w:vAlign w:val="top"/>
          </w:tcPr>
          <w:p>
            <w:pPr>
              <w:spacing w:after="0" w:before="0" w:line="264"/>
              <w:jc w:val="left"/>
            </w:pPr>
            <w:r>
              <w:rPr>
                <w:rFonts w:ascii="Arial" w:eastAsia="宋体" w:hAnsi="Arial"/>
                <w:b w:val="false"/>
                <w:bCs w:val="false"/>
                <w:color w:val="222A33"/>
                <w:sz w:val="18"/>
                <w:szCs w:val="18"/>
              </w:rPr>
              <w:t xml:space="preserve">人参 + 五灵脂同方</w:t>
            </w:r>
          </w:p>
        </w:tc>
        <w:tc>
          <w:tcPr>
            <w:tcW w:type="dxa" w:w="1634"/>
            <w:vAlign w:val="top"/>
          </w:tcPr>
          <w:p>
            <w:pPr>
              <w:spacing w:after="0" w:before="0" w:line="264"/>
              <w:jc w:val="left"/>
            </w:pPr>
            <w:r>
              <w:rPr>
                <w:rFonts w:ascii="Arial" w:eastAsia="宋体" w:hAnsi="Arial"/>
                <w:b w:val="false"/>
                <w:bCs w:val="false"/>
                <w:color w:val="222A33"/>
                <w:sz w:val="18"/>
                <w:szCs w:val="18"/>
              </w:rPr>
              <w:t xml:space="preserve">高</w:t>
            </w:r>
          </w:p>
        </w:tc>
        <w:tc>
          <w:tcPr>
            <w:tcW w:type="dxa" w:w="3085"/>
            <w:vAlign w:val="top"/>
          </w:tcPr>
          <w:p>
            <w:pPr>
              <w:spacing w:after="0" w:before="0" w:line="264"/>
              <w:jc w:val="left"/>
            </w:pPr>
            <w:r>
              <w:rPr>
                <w:rFonts w:ascii="Arial" w:eastAsia="宋体" w:hAnsi="Arial"/>
                <w:b w:val="false"/>
                <w:bCs w:val="false"/>
                <w:color w:val="222A33"/>
                <w:sz w:val="18"/>
                <w:szCs w:val="18"/>
              </w:rPr>
              <w:t xml:space="preserve">胃肠反应、补气效果受影响；机制证据有限但属传统禁忌</w:t>
            </w:r>
          </w:p>
        </w:tc>
        <w:tc>
          <w:tcPr>
            <w:tcW w:type="dxa" w:w="2233"/>
            <w:vAlign w:val="top"/>
          </w:tcPr>
          <w:p>
            <w:pPr>
              <w:spacing w:after="0" w:before="0" w:line="264"/>
              <w:jc w:val="left"/>
            </w:pPr>
            <w:r>
              <w:rPr>
                <w:rFonts w:ascii="Arial" w:eastAsia="宋体" w:hAnsi="Arial"/>
                <w:b w:val="false"/>
                <w:bCs w:val="false"/>
                <w:color w:val="222A33"/>
                <w:sz w:val="18"/>
                <w:szCs w:val="18"/>
              </w:rPr>
              <w:t xml:space="preserve">退回修改，不建议直接调配</w:t>
            </w:r>
          </w:p>
        </w:tc>
      </w:tr>
      <w:tr>
        <w:trPr>
          <w:cantSplit/>
          <w:tblHeader w:val="off"/>
        </w:trPr>
        <w:tc>
          <w:tcPr>
            <w:tcW w:type="dxa" w:w="2232"/>
            <w:shd w:fill="F5F8FC" w:color="auto" w:val="clear"/>
            <w:vAlign w:val="top"/>
          </w:tcPr>
          <w:p>
            <w:pPr>
              <w:spacing w:after="0" w:before="0" w:line="264"/>
              <w:jc w:val="left"/>
            </w:pPr>
            <w:r>
              <w:rPr>
                <w:rFonts w:ascii="Arial" w:eastAsia="宋体" w:hAnsi="Arial"/>
                <w:b w:val="false"/>
                <w:bCs w:val="false"/>
                <w:color w:val="222A33"/>
                <w:sz w:val="18"/>
                <w:szCs w:val="18"/>
              </w:rPr>
              <w:t xml:space="preserve">吴茱萸 10 g</w:t>
            </w:r>
          </w:p>
        </w:tc>
        <w:tc>
          <w:tcPr>
            <w:tcW w:type="dxa" w:w="1634"/>
            <w:shd w:fill="F5F8FC" w:color="auto" w:val="clear"/>
            <w:vAlign w:val="top"/>
          </w:tcPr>
          <w:p>
            <w:pPr>
              <w:spacing w:after="0" w:before="0" w:line="264"/>
              <w:jc w:val="left"/>
            </w:pPr>
            <w:r>
              <w:rPr>
                <w:rFonts w:ascii="Arial" w:eastAsia="宋体" w:hAnsi="Arial"/>
                <w:b w:val="false"/>
                <w:bCs w:val="false"/>
                <w:color w:val="222A33"/>
                <w:sz w:val="18"/>
                <w:szCs w:val="18"/>
              </w:rPr>
              <w:t xml:space="preserve">高</w:t>
            </w:r>
          </w:p>
        </w:tc>
        <w:tc>
          <w:tcPr>
            <w:tcW w:type="dxa" w:w="3085"/>
            <w:shd w:fill="F5F8FC" w:color="auto" w:val="clear"/>
            <w:vAlign w:val="top"/>
          </w:tcPr>
          <w:p>
            <w:pPr>
              <w:spacing w:after="0" w:before="0" w:line="264"/>
              <w:jc w:val="left"/>
            </w:pPr>
            <w:r>
              <w:rPr>
                <w:rFonts w:ascii="Arial" w:eastAsia="宋体" w:hAnsi="Arial"/>
                <w:b w:val="false"/>
                <w:bCs w:val="false"/>
                <w:color w:val="222A33"/>
                <w:sz w:val="18"/>
                <w:szCs w:val="18"/>
              </w:rPr>
              <w:t xml:space="preserve">口干、恶心、腹痛、头晕等，个体差异大</w:t>
            </w:r>
          </w:p>
        </w:tc>
        <w:tc>
          <w:tcPr>
            <w:tcW w:type="dxa" w:w="2233"/>
            <w:shd w:fill="F5F8FC" w:color="auto" w:val="clear"/>
            <w:vAlign w:val="top"/>
          </w:tcPr>
          <w:p>
            <w:pPr>
              <w:spacing w:after="0" w:before="0" w:line="264"/>
              <w:jc w:val="left"/>
            </w:pPr>
            <w:r>
              <w:rPr>
                <w:rFonts w:ascii="Arial" w:eastAsia="宋体" w:hAnsi="Arial"/>
                <w:b w:val="false"/>
                <w:bCs w:val="false"/>
                <w:color w:val="222A33"/>
                <w:sz w:val="18"/>
                <w:szCs w:val="18"/>
              </w:rPr>
              <w:t xml:space="preserve">降至 2～5 g</w:t>
            </w:r>
          </w:p>
        </w:tc>
      </w:tr>
      <w:tr>
        <w:trPr>
          <w:cantSplit/>
          <w:tblHeader w:val="off"/>
        </w:trPr>
        <w:tc>
          <w:tcPr>
            <w:tcW w:type="dxa" w:w="2232"/>
            <w:vAlign w:val="top"/>
          </w:tcPr>
          <w:p>
            <w:pPr>
              <w:spacing w:after="0" w:before="0" w:line="264"/>
              <w:jc w:val="left"/>
            </w:pPr>
            <w:r>
              <w:rPr>
                <w:rFonts w:ascii="Arial" w:eastAsia="宋体" w:hAnsi="Arial"/>
                <w:b w:val="false"/>
                <w:bCs w:val="false"/>
                <w:color w:val="222A33"/>
                <w:sz w:val="18"/>
                <w:szCs w:val="18"/>
              </w:rPr>
              <w:t xml:space="preserve">人参未另煎、五灵脂未包煎</w:t>
            </w:r>
          </w:p>
        </w:tc>
        <w:tc>
          <w:tcPr>
            <w:tcW w:type="dxa" w:w="1634"/>
            <w:vAlign w:val="top"/>
          </w:tcPr>
          <w:p>
            <w:pPr>
              <w:spacing w:after="0" w:before="0" w:line="264"/>
              <w:jc w:val="left"/>
            </w:pPr>
            <w:r>
              <w:rPr>
                <w:rFonts w:ascii="Arial" w:eastAsia="宋体" w:hAnsi="Arial"/>
                <w:b w:val="false"/>
                <w:bCs w:val="false"/>
                <w:color w:val="222A33"/>
                <w:sz w:val="18"/>
                <w:szCs w:val="18"/>
              </w:rPr>
              <w:t xml:space="preserve">中</w:t>
            </w:r>
          </w:p>
        </w:tc>
        <w:tc>
          <w:tcPr>
            <w:tcW w:type="dxa" w:w="3085"/>
            <w:vAlign w:val="top"/>
          </w:tcPr>
          <w:p>
            <w:pPr>
              <w:spacing w:after="0" w:before="0" w:line="264"/>
              <w:jc w:val="left"/>
            </w:pPr>
            <w:r>
              <w:rPr>
                <w:rFonts w:ascii="Arial" w:eastAsia="宋体" w:hAnsi="Arial"/>
                <w:b w:val="false"/>
                <w:bCs w:val="false"/>
                <w:color w:val="222A33"/>
                <w:sz w:val="18"/>
                <w:szCs w:val="18"/>
              </w:rPr>
              <w:t xml:space="preserve">有效成分浪费、药液浑浊、依从性下降</w:t>
            </w:r>
          </w:p>
        </w:tc>
        <w:tc>
          <w:tcPr>
            <w:tcW w:type="dxa" w:w="2233"/>
            <w:vAlign w:val="top"/>
          </w:tcPr>
          <w:p>
            <w:pPr>
              <w:spacing w:after="0" w:before="0" w:line="264"/>
              <w:jc w:val="left"/>
            </w:pPr>
            <w:r>
              <w:rPr>
                <w:rFonts w:ascii="Arial" w:eastAsia="宋体" w:hAnsi="Arial"/>
                <w:b w:val="false"/>
                <w:bCs w:val="false"/>
                <w:color w:val="222A33"/>
                <w:sz w:val="18"/>
                <w:szCs w:val="18"/>
              </w:rPr>
              <w:t xml:space="preserve">更正煎法</w:t>
            </w:r>
          </w:p>
        </w:tc>
      </w:tr>
      <w:tr>
        <w:trPr>
          <w:cantSplit/>
          <w:tblHeader w:val="off"/>
        </w:trPr>
        <w:tc>
          <w:tcPr>
            <w:tcW w:type="dxa" w:w="2232"/>
            <w:shd w:fill="F5F8FC" w:color="auto" w:val="clear"/>
            <w:vAlign w:val="top"/>
          </w:tcPr>
          <w:p>
            <w:pPr>
              <w:spacing w:after="0" w:before="0" w:line="264"/>
              <w:jc w:val="left"/>
            </w:pPr>
            <w:r>
              <w:rPr>
                <w:rFonts w:ascii="Arial" w:eastAsia="宋体" w:hAnsi="Arial"/>
                <w:b w:val="false"/>
                <w:bCs w:val="false"/>
                <w:color w:val="222A33"/>
                <w:sz w:val="18"/>
                <w:szCs w:val="18"/>
              </w:rPr>
              <w:t xml:space="preserve">炙甘草与降压药长期合用</w:t>
            </w:r>
          </w:p>
        </w:tc>
        <w:tc>
          <w:tcPr>
            <w:tcW w:type="dxa" w:w="1634"/>
            <w:shd w:fill="F5F8FC" w:color="auto" w:val="clear"/>
            <w:vAlign w:val="top"/>
          </w:tcPr>
          <w:p>
            <w:pPr>
              <w:spacing w:after="0" w:before="0" w:line="264"/>
              <w:jc w:val="left"/>
            </w:pPr>
            <w:r>
              <w:rPr>
                <w:rFonts w:ascii="Arial" w:eastAsia="宋体" w:hAnsi="Arial"/>
                <w:b w:val="false"/>
                <w:bCs w:val="false"/>
                <w:color w:val="222A33"/>
                <w:sz w:val="18"/>
                <w:szCs w:val="18"/>
              </w:rPr>
              <w:t xml:space="preserve">低～中</w:t>
            </w:r>
          </w:p>
        </w:tc>
        <w:tc>
          <w:tcPr>
            <w:tcW w:type="dxa" w:w="3085"/>
            <w:shd w:fill="F5F8FC" w:color="auto" w:val="clear"/>
            <w:vAlign w:val="top"/>
          </w:tcPr>
          <w:p>
            <w:pPr>
              <w:spacing w:after="0" w:before="0" w:line="264"/>
              <w:jc w:val="left"/>
            </w:pPr>
            <w:r>
              <w:rPr>
                <w:rFonts w:ascii="Arial" w:eastAsia="宋体" w:hAnsi="Arial"/>
                <w:b w:val="false"/>
                <w:bCs w:val="false"/>
                <w:color w:val="222A33"/>
                <w:sz w:val="18"/>
                <w:szCs w:val="18"/>
              </w:rPr>
              <w:t xml:space="preserve">水钠潴留、血压升高、低钾</w:t>
            </w:r>
          </w:p>
        </w:tc>
        <w:tc>
          <w:tcPr>
            <w:tcW w:type="dxa" w:w="2233"/>
            <w:shd w:fill="F5F8FC" w:color="auto" w:val="clear"/>
            <w:vAlign w:val="top"/>
          </w:tcPr>
          <w:p>
            <w:pPr>
              <w:spacing w:after="0" w:before="0" w:line="264"/>
              <w:jc w:val="left"/>
            </w:pPr>
            <w:r>
              <w:rPr>
                <w:rFonts w:ascii="Arial" w:eastAsia="宋体" w:hAnsi="Arial"/>
                <w:b w:val="false"/>
                <w:bCs w:val="false"/>
                <w:color w:val="222A33"/>
                <w:sz w:val="18"/>
                <w:szCs w:val="18"/>
              </w:rPr>
              <w:t xml:space="preserve">监测血压、血钾</w:t>
            </w:r>
          </w:p>
        </w:tc>
      </w:tr>
      <w:tr>
        <w:trPr>
          <w:cantSplit/>
          <w:tblHeader w:val="off"/>
        </w:trPr>
        <w:tc>
          <w:tcPr>
            <w:tcW w:type="dxa" w:w="2232"/>
            <w:vAlign w:val="top"/>
          </w:tcPr>
          <w:p>
            <w:pPr>
              <w:spacing w:after="0" w:before="0" w:line="264"/>
              <w:jc w:val="left"/>
            </w:pPr>
            <w:r>
              <w:rPr>
                <w:rFonts w:ascii="Arial" w:eastAsia="宋体" w:hAnsi="Arial"/>
                <w:b/>
                <w:bCs/>
                <w:color w:val="222A33"/>
                <w:sz w:val="18"/>
                <w:szCs w:val="18"/>
              </w:rPr>
              <w:t xml:space="preserve">综合</w:t>
            </w:r>
          </w:p>
        </w:tc>
        <w:tc>
          <w:tcPr>
            <w:tcW w:type="dxa" w:w="1634"/>
            <w:vAlign w:val="top"/>
          </w:tcPr>
          <w:p>
            <w:pPr>
              <w:spacing w:after="0" w:before="0" w:line="264"/>
              <w:jc w:val="left"/>
            </w:pPr>
            <w:r>
              <w:rPr>
                <w:rFonts w:ascii="Arial" w:eastAsia="宋体" w:hAnsi="Arial"/>
                <w:b/>
                <w:bCs/>
                <w:color w:val="222A33"/>
                <w:sz w:val="18"/>
                <w:szCs w:val="18"/>
              </w:rPr>
              <w:t xml:space="preserve">高</w:t>
            </w:r>
          </w:p>
        </w:tc>
        <w:tc>
          <w:tcPr>
            <w:tcW w:type="dxa" w:w="3085"/>
            <w:vAlign w:val="top"/>
          </w:tcPr>
          <w:p>
            <w:pPr>
              <w:spacing w:after="0" w:before="0" w:line="264"/>
              <w:jc w:val="left"/>
            </w:pPr>
            <w:r>
              <w:rPr>
                <w:rFonts w:ascii="Arial" w:eastAsia="宋体" w:hAnsi="Arial"/>
                <w:b w:val="false"/>
                <w:bCs w:val="false"/>
                <w:color w:val="222A33"/>
                <w:sz w:val="18"/>
                <w:szCs w:val="18"/>
              </w:rPr>
              <w:t xml:space="preserve">多重问题叠加</w:t>
            </w:r>
          </w:p>
        </w:tc>
        <w:tc>
          <w:tcPr>
            <w:tcW w:type="dxa" w:w="2233"/>
            <w:vAlign w:val="top"/>
          </w:tcPr>
          <w:p>
            <w:pPr>
              <w:spacing w:after="0" w:before="0" w:line="264"/>
              <w:jc w:val="left"/>
            </w:pPr>
            <w:r>
              <w:rPr>
                <w:rFonts w:ascii="Arial" w:eastAsia="宋体" w:hAnsi="Arial"/>
                <w:b/>
                <w:bCs/>
                <w:color w:val="222A33"/>
                <w:sz w:val="18"/>
                <w:szCs w:val="18"/>
              </w:rPr>
              <w:t xml:space="preserve">不通过，拒绝调配</w:t>
            </w:r>
          </w:p>
        </w:tc>
      </w:tr>
    </w:tbl>
    <w:p>
      <w:pPr>
        <w:spacing w:after="0" w:before="0" w:line="80"/>
      </w:pPr>
    </w:p>
    <w:p>
      <w:pPr>
        <w:pStyle w:val="Heading2"/>
        <w:keepNext/>
        <w:pBdr>
          <w:bottom w:val="single" w:color="D6E3F0" w:sz="6" w:space="2"/>
        </w:pBdr>
      </w:pPr>
      <w:bookmarkStart w:name="_Toc16" w:id="16"/>
      <w:r>
        <w:rPr>
          <w:rFonts w:ascii="Arial" w:eastAsia="黑体" w:hAnsi="Arial"/>
          <w:b/>
          <w:bCs/>
          <w:color w:val="2E5C8A"/>
          <w:sz w:val="28"/>
          <w:szCs w:val="28"/>
        </w:rPr>
        <w:t xml:space="preserve">3.8 药师建议</w:t>
      </w:r>
      <w:bookmarkEnd w:id="16"/>
    </w:p>
    <w:p>
      <w:pPr>
        <w:pStyle w:val="ListParagraph"/>
        <w:numPr>
          <w:ilvl w:val="0"/>
          <w:numId w:val="3"/>
        </w:numPr>
        <w:spacing w:after="80" w:before="0" w:line="348"/>
      </w:pPr>
      <w:r>
        <w:rPr>
          <w:rFonts w:ascii="Times New Roman" w:eastAsia="宋体" w:hAnsi="Times New Roman"/>
          <w:b/>
          <w:bCs/>
          <w:color w:val="222A33"/>
          <w:sz w:val="21"/>
          <w:szCs w:val="21"/>
        </w:rPr>
        <w:t xml:space="preserve">配伍问题二选一：</w:t>
      </w:r>
      <w:r>
        <w:rPr>
          <w:rFonts w:ascii="Times New Roman" w:eastAsia="宋体" w:hAnsi="Times New Roman"/>
          <w:b w:val="false"/>
          <w:bCs w:val="false"/>
          <w:color w:val="222A33"/>
          <w:sz w:val="21"/>
          <w:szCs w:val="21"/>
        </w:rPr>
        <w:t xml:space="preserve"> 去五灵脂，保留人参；或去人参，保留五灵脂。由医师根据“气虚”与“血瘀”的主次决定。</w:t>
      </w:r>
    </w:p>
    <w:p>
      <w:pPr>
        <w:pStyle w:val="ListParagraph"/>
        <w:numPr>
          <w:ilvl w:val="0"/>
          <w:numId w:val="3"/>
        </w:numPr>
        <w:spacing w:after="80" w:before="0" w:line="348"/>
      </w:pPr>
      <w:r>
        <w:rPr>
          <w:rFonts w:ascii="Times New Roman" w:eastAsia="宋体" w:hAnsi="Times New Roman"/>
          <w:b/>
          <w:bCs/>
          <w:color w:val="222A33"/>
          <w:sz w:val="21"/>
          <w:szCs w:val="21"/>
        </w:rPr>
        <w:t xml:space="preserve">吴茱萸减量：</w:t>
      </w:r>
      <w:r>
        <w:rPr>
          <w:rFonts w:ascii="Times New Roman" w:eastAsia="宋体" w:hAnsi="Times New Roman"/>
          <w:b w:val="false"/>
          <w:bCs w:val="false"/>
          <w:color w:val="222A33"/>
          <w:sz w:val="21"/>
          <w:szCs w:val="21"/>
        </w:rPr>
        <w:t xml:space="preserve"> 降至 3～5 g；如仍需加强止痛，可评估延胡索、丹参等药物的配伍，但不得自行叠加。</w:t>
      </w:r>
    </w:p>
    <w:p>
      <w:pPr>
        <w:pStyle w:val="ListParagraph"/>
        <w:numPr>
          <w:ilvl w:val="0"/>
          <w:numId w:val="3"/>
        </w:numPr>
        <w:spacing w:after="80" w:before="0" w:line="348"/>
      </w:pPr>
      <w:r>
        <w:rPr>
          <w:rFonts w:ascii="Times New Roman" w:eastAsia="宋体" w:hAnsi="Times New Roman"/>
          <w:b/>
          <w:bCs/>
          <w:color w:val="222A33"/>
          <w:sz w:val="21"/>
          <w:szCs w:val="21"/>
        </w:rPr>
        <w:t xml:space="preserve">煎法更正：</w:t>
      </w:r>
      <w:r>
        <w:rPr>
          <w:rFonts w:ascii="Times New Roman" w:eastAsia="宋体" w:hAnsi="Times New Roman"/>
          <w:b w:val="false"/>
          <w:bCs w:val="false"/>
          <w:color w:val="222A33"/>
          <w:sz w:val="21"/>
          <w:szCs w:val="21"/>
        </w:rPr>
        <w:t xml:space="preserve"> 人参另煎兑服；五灵脂包煎。</w:t>
      </w:r>
    </w:p>
    <w:p>
      <w:pPr>
        <w:pStyle w:val="ListParagraph"/>
        <w:numPr>
          <w:ilvl w:val="0"/>
          <w:numId w:val="3"/>
        </w:numPr>
        <w:spacing w:after="80" w:before="0" w:line="348"/>
      </w:pPr>
      <w:r>
        <w:rPr>
          <w:rFonts w:ascii="Times New Roman" w:eastAsia="宋体" w:hAnsi="Times New Roman"/>
          <w:b/>
          <w:bCs/>
          <w:color w:val="222A33"/>
          <w:sz w:val="21"/>
          <w:szCs w:val="21"/>
        </w:rPr>
        <w:t xml:space="preserve">监测：</w:t>
      </w:r>
      <w:r>
        <w:rPr>
          <w:rFonts w:ascii="Times New Roman" w:eastAsia="宋体" w:hAnsi="Times New Roman"/>
          <w:b w:val="false"/>
          <w:bCs w:val="false"/>
          <w:color w:val="222A33"/>
          <w:sz w:val="21"/>
          <w:szCs w:val="21"/>
        </w:rPr>
        <w:t xml:space="preserve"> 监测血压、血钾、胃肠反应；如出现口舌麻木、心悸、剧烈腹痛、腹泻等，立即停药就医。</w:t>
      </w:r>
    </w:p>
    <w:p>
      <w:pPr>
        <w:pStyle w:val="ListParagraph"/>
        <w:numPr>
          <w:ilvl w:val="0"/>
          <w:numId w:val="3"/>
        </w:numPr>
        <w:spacing w:after="80" w:before="0" w:line="348"/>
      </w:pPr>
      <w:r>
        <w:rPr>
          <w:rFonts w:ascii="Times New Roman" w:eastAsia="宋体" w:hAnsi="Times New Roman"/>
          <w:b/>
          <w:bCs/>
          <w:color w:val="222A33"/>
          <w:sz w:val="21"/>
          <w:szCs w:val="21"/>
        </w:rPr>
        <w:t xml:space="preserve">记录：</w:t>
      </w:r>
      <w:r>
        <w:rPr>
          <w:rFonts w:ascii="Times New Roman" w:eastAsia="宋体" w:hAnsi="Times New Roman"/>
          <w:b w:val="false"/>
          <w:bCs w:val="false"/>
          <w:color w:val="222A33"/>
          <w:sz w:val="21"/>
          <w:szCs w:val="21"/>
        </w:rPr>
        <w:t xml:space="preserve"> 医师如坚持原方，应书面说明理由、双签字并知情同意；药师保留审核意见。</w:t>
      </w:r>
    </w:p>
    <w:p>
      <w:pPr>
        <w:pStyle w:val="Heading2"/>
        <w:keepNext/>
        <w:pBdr>
          <w:bottom w:val="single" w:color="D6E3F0" w:sz="6" w:space="2"/>
        </w:pBdr>
      </w:pPr>
      <w:bookmarkStart w:name="_Toc17" w:id="17"/>
      <w:r>
        <w:rPr>
          <w:rFonts w:ascii="Arial" w:eastAsia="黑体" w:hAnsi="Arial"/>
          <w:b/>
          <w:bCs/>
          <w:color w:val="2E5C8A"/>
          <w:sz w:val="28"/>
          <w:szCs w:val="28"/>
        </w:rPr>
        <w:t xml:space="preserve">3.9 如医师坚持原方的处理原则</w:t>
      </w:r>
      <w:bookmarkEnd w:id="17"/>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药师不得仅凭医师口头坚持而调配存在明确配伍禁忌和超量问题的处方。</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应记录沟通时间、内容、医师意见和药师意见，按机构制度上报医务部门/药学部。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如机构允许在特殊情况下合用，应有书面依据、双签字、知情同意和监测方案；本样例未提供这些材料，因此维持不通过结论。</w:t>
      </w:r>
    </w:p>
    <w:p>
      <w:pPr>
        <w:pStyle w:val="Heading1"/>
        <w:keepNext/>
        <w:pageBreakBefore/>
        <w:pBdr>
          <w:bottom w:val="single" w:color="B7CCE3" w:sz="8" w:space="4"/>
        </w:pBdr>
      </w:pPr>
      <w:bookmarkStart w:name="_Toc18" w:id="18"/>
      <w:r>
        <w:rPr>
          <w:rFonts w:ascii="Arial" w:eastAsia="黑体" w:hAnsi="Arial"/>
          <w:b/>
          <w:bCs/>
          <w:color w:val="1F3A5F"/>
          <w:sz w:val="36"/>
          <w:szCs w:val="36"/>
        </w:rPr>
        <w:t xml:space="preserve">四、沟通与处置记录</w:t>
      </w:r>
      <w:bookmarkEnd w:id="18"/>
    </w:p>
    <w:p>
      <w:pPr>
        <w:pStyle w:val="Heading2"/>
        <w:keepNext/>
        <w:pBdr>
          <w:bottom w:val="single" w:color="D6E3F0" w:sz="6" w:space="2"/>
        </w:pBdr>
      </w:pPr>
      <w:bookmarkStart w:name="_Toc19" w:id="19"/>
      <w:r>
        <w:rPr>
          <w:rFonts w:ascii="Arial" w:eastAsia="黑体" w:hAnsi="Arial"/>
          <w:b/>
          <w:bCs/>
          <w:color w:val="2E5C8A"/>
          <w:sz w:val="28"/>
          <w:szCs w:val="28"/>
        </w:rPr>
        <w:t xml:space="preserve">4.1 时间线（样例）</w:t>
      </w:r>
      <w:bookmarkEnd w:id="19"/>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1666"/>
        <w:gridCol w:w="1894"/>
        <w:gridCol w:w="3307"/>
        <w:gridCol w:w="2317"/>
      </w:tblGrid>
      <w:tr>
        <w:trPr>
          <w:cantSplit/>
          <w:tblHeader/>
        </w:trPr>
        <w:tc>
          <w:tcPr>
            <w:tcW w:type="dxa" w:w="1666"/>
            <w:shd w:fill="DCE9F7" w:color="auto" w:val="clear"/>
            <w:vAlign w:val="center"/>
          </w:tcPr>
          <w:p>
            <w:pPr>
              <w:spacing w:after="0" w:before="0" w:line="264"/>
              <w:jc w:val="center"/>
            </w:pPr>
            <w:r>
              <w:rPr>
                <w:rFonts w:ascii="Arial" w:eastAsia="宋体" w:hAnsi="Arial"/>
                <w:b/>
                <w:bCs/>
                <w:color w:val="1F3A5F"/>
                <w:sz w:val="18"/>
                <w:szCs w:val="18"/>
              </w:rPr>
              <w:t xml:space="preserve">时间</w:t>
            </w:r>
          </w:p>
        </w:tc>
        <w:tc>
          <w:tcPr>
            <w:tcW w:type="dxa" w:w="1894"/>
            <w:shd w:fill="DCE9F7" w:color="auto" w:val="clear"/>
            <w:vAlign w:val="center"/>
          </w:tcPr>
          <w:p>
            <w:pPr>
              <w:spacing w:after="0" w:before="0" w:line="264"/>
              <w:jc w:val="center"/>
            </w:pPr>
            <w:r>
              <w:rPr>
                <w:rFonts w:ascii="Arial" w:eastAsia="宋体" w:hAnsi="Arial"/>
                <w:b/>
                <w:bCs/>
                <w:color w:val="1F3A5F"/>
                <w:sz w:val="18"/>
                <w:szCs w:val="18"/>
              </w:rPr>
              <w:t xml:space="preserve">环节</w:t>
            </w:r>
          </w:p>
        </w:tc>
        <w:tc>
          <w:tcPr>
            <w:tcW w:type="dxa" w:w="3307"/>
            <w:shd w:fill="DCE9F7" w:color="auto" w:val="clear"/>
            <w:vAlign w:val="center"/>
          </w:tcPr>
          <w:p>
            <w:pPr>
              <w:spacing w:after="0" w:before="0" w:line="264"/>
              <w:jc w:val="center"/>
            </w:pPr>
            <w:r>
              <w:rPr>
                <w:rFonts w:ascii="Arial" w:eastAsia="宋体" w:hAnsi="Arial"/>
                <w:b/>
                <w:bCs/>
                <w:color w:val="1F3A5F"/>
                <w:sz w:val="18"/>
                <w:szCs w:val="18"/>
              </w:rPr>
              <w:t xml:space="preserve">内容</w:t>
            </w:r>
          </w:p>
        </w:tc>
        <w:tc>
          <w:tcPr>
            <w:tcW w:type="dxa" w:w="2317"/>
            <w:shd w:fill="DCE9F7" w:color="auto" w:val="clear"/>
            <w:vAlign w:val="center"/>
          </w:tcPr>
          <w:p>
            <w:pPr>
              <w:spacing w:after="0" w:before="0" w:line="264"/>
              <w:jc w:val="center"/>
            </w:pPr>
            <w:r>
              <w:rPr>
                <w:rFonts w:ascii="Arial" w:eastAsia="宋体" w:hAnsi="Arial"/>
                <w:b/>
                <w:bCs/>
                <w:color w:val="1F3A5F"/>
                <w:sz w:val="18"/>
                <w:szCs w:val="18"/>
              </w:rPr>
              <w:t xml:space="preserve">结果</w:t>
            </w:r>
          </w:p>
        </w:tc>
      </w:tr>
      <w:tr>
        <w:trPr>
          <w:cantSplit/>
          <w:tblHeader w:val="off"/>
        </w:trPr>
        <w:tc>
          <w:tcPr>
            <w:tcW w:type="dxa" w:w="1666"/>
            <w:vAlign w:val="top"/>
          </w:tcPr>
          <w:p>
            <w:pPr>
              <w:spacing w:after="0" w:before="0" w:line="264"/>
              <w:jc w:val="left"/>
            </w:pPr>
            <w:r>
              <w:rPr>
                <w:rFonts w:ascii="Arial" w:eastAsia="宋体" w:hAnsi="Arial"/>
                <w:b w:val="false"/>
                <w:bCs w:val="false"/>
                <w:color w:val="222A33"/>
                <w:sz w:val="18"/>
                <w:szCs w:val="18"/>
              </w:rPr>
              <w:t xml:space="preserve">10:05</w:t>
            </w:r>
          </w:p>
        </w:tc>
        <w:tc>
          <w:tcPr>
            <w:tcW w:type="dxa" w:w="1894"/>
            <w:vAlign w:val="top"/>
          </w:tcPr>
          <w:p>
            <w:pPr>
              <w:spacing w:after="0" w:before="0" w:line="264"/>
              <w:jc w:val="left"/>
            </w:pPr>
            <w:r>
              <w:rPr>
                <w:rFonts w:ascii="Arial" w:eastAsia="宋体" w:hAnsi="Arial"/>
                <w:b w:val="false"/>
                <w:bCs w:val="false"/>
                <w:color w:val="222A33"/>
                <w:sz w:val="18"/>
                <w:szCs w:val="18"/>
              </w:rPr>
              <w:t xml:space="preserve">药师审核</w:t>
            </w:r>
          </w:p>
        </w:tc>
        <w:tc>
          <w:tcPr>
            <w:tcW w:type="dxa" w:w="3307"/>
            <w:vAlign w:val="top"/>
          </w:tcPr>
          <w:p>
            <w:pPr>
              <w:spacing w:after="0" w:before="0" w:line="264"/>
              <w:jc w:val="left"/>
            </w:pPr>
            <w:r>
              <w:rPr>
                <w:rFonts w:ascii="Arial" w:eastAsia="宋体" w:hAnsi="Arial"/>
                <w:b w:val="false"/>
                <w:bCs w:val="false"/>
                <w:color w:val="222A33"/>
                <w:sz w:val="18"/>
                <w:szCs w:val="18"/>
              </w:rPr>
              <w:t xml:space="preserve">发现人参 + 五灵脂、吴茱萸超量、煎法缺失</w:t>
            </w:r>
          </w:p>
        </w:tc>
        <w:tc>
          <w:tcPr>
            <w:tcW w:type="dxa" w:w="2317"/>
            <w:vAlign w:val="top"/>
          </w:tcPr>
          <w:p>
            <w:pPr>
              <w:spacing w:after="0" w:before="0" w:line="264"/>
              <w:jc w:val="left"/>
            </w:pPr>
            <w:r>
              <w:rPr>
                <w:rFonts w:ascii="Arial" w:eastAsia="宋体" w:hAnsi="Arial"/>
                <w:b w:val="false"/>
                <w:bCs w:val="false"/>
                <w:color w:val="222A33"/>
                <w:sz w:val="18"/>
                <w:szCs w:val="18"/>
              </w:rPr>
              <w:t xml:space="preserve">标记不通过</w:t>
            </w:r>
          </w:p>
        </w:tc>
      </w:tr>
      <w:tr>
        <w:trPr>
          <w:cantSplit/>
          <w:tblHeader w:val="off"/>
        </w:trPr>
        <w:tc>
          <w:tcPr>
            <w:tcW w:type="dxa" w:w="1666"/>
            <w:shd w:fill="F5F8FC" w:color="auto" w:val="clear"/>
            <w:vAlign w:val="top"/>
          </w:tcPr>
          <w:p>
            <w:pPr>
              <w:spacing w:after="0" w:before="0" w:line="264"/>
              <w:jc w:val="left"/>
            </w:pPr>
            <w:r>
              <w:rPr>
                <w:rFonts w:ascii="Arial" w:eastAsia="宋体" w:hAnsi="Arial"/>
                <w:b w:val="false"/>
                <w:bCs w:val="false"/>
                <w:color w:val="222A33"/>
                <w:sz w:val="18"/>
                <w:szCs w:val="18"/>
              </w:rPr>
              <w:t xml:space="preserve">10:12</w:t>
            </w:r>
          </w:p>
        </w:tc>
        <w:tc>
          <w:tcPr>
            <w:tcW w:type="dxa" w:w="1894"/>
            <w:shd w:fill="F5F8FC" w:color="auto" w:val="clear"/>
            <w:vAlign w:val="top"/>
          </w:tcPr>
          <w:p>
            <w:pPr>
              <w:spacing w:after="0" w:before="0" w:line="264"/>
              <w:jc w:val="left"/>
            </w:pPr>
            <w:r>
              <w:rPr>
                <w:rFonts w:ascii="Arial" w:eastAsia="宋体" w:hAnsi="Arial"/>
                <w:b w:val="false"/>
                <w:bCs w:val="false"/>
                <w:color w:val="222A33"/>
                <w:sz w:val="18"/>
                <w:szCs w:val="18"/>
              </w:rPr>
              <w:t xml:space="preserve">电话沟通</w:t>
            </w:r>
          </w:p>
        </w:tc>
        <w:tc>
          <w:tcPr>
            <w:tcW w:type="dxa" w:w="3307"/>
            <w:shd w:fill="F5F8FC" w:color="auto" w:val="clear"/>
            <w:vAlign w:val="top"/>
          </w:tcPr>
          <w:p>
            <w:pPr>
              <w:spacing w:after="0" w:before="0" w:line="264"/>
              <w:jc w:val="left"/>
            </w:pPr>
            <w:r>
              <w:rPr>
                <w:rFonts w:ascii="Arial" w:eastAsia="宋体" w:hAnsi="Arial"/>
                <w:b w:val="false"/>
                <w:bCs w:val="false"/>
                <w:color w:val="222A33"/>
                <w:sz w:val="18"/>
                <w:szCs w:val="18"/>
              </w:rPr>
              <w:t xml:space="preserve">向处方医师说明三类问题，建议修改</w:t>
            </w:r>
          </w:p>
        </w:tc>
        <w:tc>
          <w:tcPr>
            <w:tcW w:type="dxa" w:w="2317"/>
            <w:shd w:fill="F5F8FC" w:color="auto" w:val="clear"/>
            <w:vAlign w:val="top"/>
          </w:tcPr>
          <w:p>
            <w:pPr>
              <w:spacing w:after="0" w:before="0" w:line="264"/>
              <w:jc w:val="left"/>
            </w:pPr>
            <w:r>
              <w:rPr>
                <w:rFonts w:ascii="Arial" w:eastAsia="宋体" w:hAnsi="Arial"/>
                <w:b w:val="false"/>
                <w:bCs w:val="false"/>
                <w:color w:val="222A33"/>
                <w:sz w:val="18"/>
                <w:szCs w:val="18"/>
              </w:rPr>
              <w:t xml:space="preserve">医师表示需查看患者</w:t>
            </w:r>
          </w:p>
        </w:tc>
      </w:tr>
      <w:tr>
        <w:trPr>
          <w:cantSplit/>
          <w:tblHeader w:val="off"/>
        </w:trPr>
        <w:tc>
          <w:tcPr>
            <w:tcW w:type="dxa" w:w="1666"/>
            <w:vAlign w:val="top"/>
          </w:tcPr>
          <w:p>
            <w:pPr>
              <w:spacing w:after="0" w:before="0" w:line="264"/>
              <w:jc w:val="left"/>
            </w:pPr>
            <w:r>
              <w:rPr>
                <w:rFonts w:ascii="Arial" w:eastAsia="宋体" w:hAnsi="Arial"/>
                <w:b w:val="false"/>
                <w:bCs w:val="false"/>
                <w:color w:val="222A33"/>
                <w:sz w:val="18"/>
                <w:szCs w:val="18"/>
              </w:rPr>
              <w:t xml:space="preserve">10:20</w:t>
            </w:r>
          </w:p>
        </w:tc>
        <w:tc>
          <w:tcPr>
            <w:tcW w:type="dxa" w:w="1894"/>
            <w:vAlign w:val="top"/>
          </w:tcPr>
          <w:p>
            <w:pPr>
              <w:spacing w:after="0" w:before="0" w:line="264"/>
              <w:jc w:val="left"/>
            </w:pPr>
            <w:r>
              <w:rPr>
                <w:rFonts w:ascii="Arial" w:eastAsia="宋体" w:hAnsi="Arial"/>
                <w:b w:val="false"/>
                <w:bCs w:val="false"/>
                <w:color w:val="222A33"/>
                <w:sz w:val="18"/>
                <w:szCs w:val="18"/>
              </w:rPr>
              <w:t xml:space="preserve">医师回复</w:t>
            </w:r>
          </w:p>
        </w:tc>
        <w:tc>
          <w:tcPr>
            <w:tcW w:type="dxa" w:w="3307"/>
            <w:vAlign w:val="top"/>
          </w:tcPr>
          <w:p>
            <w:pPr>
              <w:spacing w:after="0" w:before="0" w:line="264"/>
              <w:jc w:val="left"/>
            </w:pPr>
            <w:r>
              <w:rPr>
                <w:rFonts w:ascii="Arial" w:eastAsia="宋体" w:hAnsi="Arial"/>
                <w:b w:val="false"/>
                <w:bCs w:val="false"/>
                <w:color w:val="222A33"/>
                <w:sz w:val="18"/>
                <w:szCs w:val="18"/>
              </w:rPr>
              <w:t xml:space="preserve">认为“古方有用人参配五灵脂”，坚持原方</w:t>
            </w:r>
          </w:p>
        </w:tc>
        <w:tc>
          <w:tcPr>
            <w:tcW w:type="dxa" w:w="2317"/>
            <w:vAlign w:val="top"/>
          </w:tcPr>
          <w:p>
            <w:pPr>
              <w:spacing w:after="0" w:before="0" w:line="264"/>
              <w:jc w:val="left"/>
            </w:pPr>
            <w:r>
              <w:rPr>
                <w:rFonts w:ascii="Arial" w:eastAsia="宋体" w:hAnsi="Arial"/>
                <w:b w:val="false"/>
                <w:bCs w:val="false"/>
                <w:color w:val="222A33"/>
                <w:sz w:val="18"/>
                <w:szCs w:val="18"/>
              </w:rPr>
              <w:t xml:space="preserve">未修改</w:t>
            </w:r>
          </w:p>
        </w:tc>
      </w:tr>
      <w:tr>
        <w:trPr>
          <w:cantSplit/>
          <w:tblHeader w:val="off"/>
        </w:trPr>
        <w:tc>
          <w:tcPr>
            <w:tcW w:type="dxa" w:w="1666"/>
            <w:shd w:fill="F5F8FC" w:color="auto" w:val="clear"/>
            <w:vAlign w:val="top"/>
          </w:tcPr>
          <w:p>
            <w:pPr>
              <w:spacing w:after="0" w:before="0" w:line="264"/>
              <w:jc w:val="left"/>
            </w:pPr>
            <w:r>
              <w:rPr>
                <w:rFonts w:ascii="Arial" w:eastAsia="宋体" w:hAnsi="Arial"/>
                <w:b w:val="false"/>
                <w:bCs w:val="false"/>
                <w:color w:val="222A33"/>
                <w:sz w:val="18"/>
                <w:szCs w:val="18"/>
              </w:rPr>
              <w:t xml:space="preserve">10:30</w:t>
            </w:r>
          </w:p>
        </w:tc>
        <w:tc>
          <w:tcPr>
            <w:tcW w:type="dxa" w:w="1894"/>
            <w:shd w:fill="F5F8FC" w:color="auto" w:val="clear"/>
            <w:vAlign w:val="top"/>
          </w:tcPr>
          <w:p>
            <w:pPr>
              <w:spacing w:after="0" w:before="0" w:line="264"/>
              <w:jc w:val="left"/>
            </w:pPr>
            <w:r>
              <w:rPr>
                <w:rFonts w:ascii="Arial" w:eastAsia="宋体" w:hAnsi="Arial"/>
                <w:b w:val="false"/>
                <w:bCs w:val="false"/>
                <w:color w:val="222A33"/>
                <w:sz w:val="18"/>
                <w:szCs w:val="18"/>
              </w:rPr>
              <w:t xml:space="preserve">第二次沟通</w:t>
            </w:r>
          </w:p>
        </w:tc>
        <w:tc>
          <w:tcPr>
            <w:tcW w:type="dxa" w:w="3307"/>
            <w:shd w:fill="F5F8FC" w:color="auto" w:val="clear"/>
            <w:vAlign w:val="top"/>
          </w:tcPr>
          <w:p>
            <w:pPr>
              <w:spacing w:after="0" w:before="0" w:line="264"/>
              <w:jc w:val="left"/>
            </w:pPr>
            <w:r>
              <w:rPr>
                <w:rFonts w:ascii="Arial" w:eastAsia="宋体" w:hAnsi="Arial"/>
                <w:b w:val="false"/>
                <w:bCs w:val="false"/>
                <w:color w:val="222A33"/>
                <w:sz w:val="18"/>
                <w:szCs w:val="18"/>
              </w:rPr>
              <w:t xml:space="preserve">药师再次说明药典与审核规范要求</w:t>
            </w:r>
          </w:p>
        </w:tc>
        <w:tc>
          <w:tcPr>
            <w:tcW w:type="dxa" w:w="2317"/>
            <w:shd w:fill="F5F8FC" w:color="auto" w:val="clear"/>
            <w:vAlign w:val="top"/>
          </w:tcPr>
          <w:p>
            <w:pPr>
              <w:spacing w:after="0" w:before="0" w:line="264"/>
              <w:jc w:val="left"/>
            </w:pPr>
            <w:r>
              <w:rPr>
                <w:rFonts w:ascii="Arial" w:eastAsia="宋体" w:hAnsi="Arial"/>
                <w:b w:val="false"/>
                <w:bCs w:val="false"/>
                <w:color w:val="222A33"/>
                <w:sz w:val="18"/>
                <w:szCs w:val="18"/>
              </w:rPr>
              <w:t xml:space="preserve">医师仍坚持</w:t>
            </w:r>
          </w:p>
        </w:tc>
      </w:tr>
      <w:tr>
        <w:trPr>
          <w:cantSplit/>
          <w:tblHeader w:val="off"/>
        </w:trPr>
        <w:tc>
          <w:tcPr>
            <w:tcW w:type="dxa" w:w="1666"/>
            <w:vAlign w:val="top"/>
          </w:tcPr>
          <w:p>
            <w:pPr>
              <w:spacing w:after="0" w:before="0" w:line="264"/>
              <w:jc w:val="left"/>
            </w:pPr>
            <w:r>
              <w:rPr>
                <w:rFonts w:ascii="Arial" w:eastAsia="宋体" w:hAnsi="Arial"/>
                <w:b w:val="false"/>
                <w:bCs w:val="false"/>
                <w:color w:val="222A33"/>
                <w:sz w:val="18"/>
                <w:szCs w:val="18"/>
              </w:rPr>
              <w:t xml:space="preserve">10:40</w:t>
            </w:r>
          </w:p>
        </w:tc>
        <w:tc>
          <w:tcPr>
            <w:tcW w:type="dxa" w:w="1894"/>
            <w:vAlign w:val="top"/>
          </w:tcPr>
          <w:p>
            <w:pPr>
              <w:spacing w:after="0" w:before="0" w:line="264"/>
              <w:jc w:val="left"/>
            </w:pPr>
            <w:r>
              <w:rPr>
                <w:rFonts w:ascii="Arial" w:eastAsia="宋体" w:hAnsi="Arial"/>
                <w:b w:val="false"/>
                <w:bCs w:val="false"/>
                <w:color w:val="222A33"/>
                <w:sz w:val="18"/>
                <w:szCs w:val="18"/>
              </w:rPr>
              <w:t xml:space="preserve">记录</w:t>
            </w:r>
          </w:p>
        </w:tc>
        <w:tc>
          <w:tcPr>
            <w:tcW w:type="dxa" w:w="3307"/>
            <w:vAlign w:val="top"/>
          </w:tcPr>
          <w:p>
            <w:pPr>
              <w:spacing w:after="0" w:before="0" w:line="264"/>
              <w:jc w:val="left"/>
            </w:pPr>
            <w:r>
              <w:rPr>
                <w:rFonts w:ascii="Arial" w:eastAsia="宋体" w:hAnsi="Arial"/>
                <w:b w:val="false"/>
                <w:bCs w:val="false"/>
                <w:color w:val="222A33"/>
                <w:sz w:val="18"/>
                <w:szCs w:val="18"/>
              </w:rPr>
              <w:t xml:space="preserve">在处方上注明审核意见，双签字</w:t>
            </w:r>
          </w:p>
        </w:tc>
        <w:tc>
          <w:tcPr>
            <w:tcW w:type="dxa" w:w="2317"/>
            <w:vAlign w:val="top"/>
          </w:tcPr>
          <w:p>
            <w:pPr>
              <w:spacing w:after="0" w:before="0" w:line="264"/>
              <w:jc w:val="left"/>
            </w:pPr>
            <w:r>
              <w:rPr>
                <w:rFonts w:ascii="Arial" w:eastAsia="宋体" w:hAnsi="Arial"/>
                <w:b w:val="false"/>
                <w:bCs w:val="false"/>
                <w:color w:val="222A33"/>
                <w:sz w:val="18"/>
                <w:szCs w:val="18"/>
              </w:rPr>
              <w:t xml:space="preserve">留存</w:t>
            </w:r>
          </w:p>
        </w:tc>
      </w:tr>
      <w:tr>
        <w:trPr>
          <w:cantSplit/>
          <w:tblHeader w:val="off"/>
        </w:trPr>
        <w:tc>
          <w:tcPr>
            <w:tcW w:type="dxa" w:w="1666"/>
            <w:shd w:fill="F5F8FC" w:color="auto" w:val="clear"/>
            <w:vAlign w:val="top"/>
          </w:tcPr>
          <w:p>
            <w:pPr>
              <w:spacing w:after="0" w:before="0" w:line="264"/>
              <w:jc w:val="left"/>
            </w:pPr>
            <w:r>
              <w:rPr>
                <w:rFonts w:ascii="Arial" w:eastAsia="宋体" w:hAnsi="Arial"/>
                <w:b w:val="false"/>
                <w:bCs w:val="false"/>
                <w:color w:val="222A33"/>
                <w:sz w:val="18"/>
                <w:szCs w:val="18"/>
              </w:rPr>
              <w:t xml:space="preserve">10:50</w:t>
            </w:r>
          </w:p>
        </w:tc>
        <w:tc>
          <w:tcPr>
            <w:tcW w:type="dxa" w:w="1894"/>
            <w:shd w:fill="F5F8FC" w:color="auto" w:val="clear"/>
            <w:vAlign w:val="top"/>
          </w:tcPr>
          <w:p>
            <w:pPr>
              <w:spacing w:after="0" w:before="0" w:line="264"/>
              <w:jc w:val="left"/>
            </w:pPr>
            <w:r>
              <w:rPr>
                <w:rFonts w:ascii="Arial" w:eastAsia="宋体" w:hAnsi="Arial"/>
                <w:b w:val="false"/>
                <w:bCs w:val="false"/>
                <w:color w:val="222A33"/>
                <w:sz w:val="18"/>
                <w:szCs w:val="18"/>
              </w:rPr>
              <w:t xml:space="preserve">上报</w:t>
            </w:r>
          </w:p>
        </w:tc>
        <w:tc>
          <w:tcPr>
            <w:tcW w:type="dxa" w:w="3307"/>
            <w:shd w:fill="F5F8FC" w:color="auto" w:val="clear"/>
            <w:vAlign w:val="top"/>
          </w:tcPr>
          <w:p>
            <w:pPr>
              <w:spacing w:after="0" w:before="0" w:line="264"/>
              <w:jc w:val="left"/>
            </w:pPr>
            <w:r>
              <w:rPr>
                <w:rFonts w:ascii="Arial" w:eastAsia="宋体" w:hAnsi="Arial"/>
                <w:b w:val="false"/>
                <w:bCs w:val="false"/>
                <w:color w:val="222A33"/>
                <w:sz w:val="18"/>
                <w:szCs w:val="18"/>
              </w:rPr>
              <w:t xml:space="preserve">报医务部门/药学部备案</w:t>
            </w:r>
          </w:p>
        </w:tc>
        <w:tc>
          <w:tcPr>
            <w:tcW w:type="dxa" w:w="2317"/>
            <w:shd w:fill="F5F8FC" w:color="auto" w:val="clear"/>
            <w:vAlign w:val="top"/>
          </w:tcPr>
          <w:p>
            <w:pPr>
              <w:spacing w:after="0" w:before="0" w:line="264"/>
              <w:jc w:val="left"/>
            </w:pPr>
            <w:r>
              <w:rPr>
                <w:rFonts w:ascii="Arial" w:eastAsia="宋体" w:hAnsi="Arial"/>
                <w:b w:val="false"/>
                <w:bCs w:val="false"/>
                <w:color w:val="222A33"/>
                <w:sz w:val="18"/>
                <w:szCs w:val="18"/>
              </w:rPr>
              <w:t xml:space="preserve">受理</w:t>
            </w:r>
          </w:p>
        </w:tc>
      </w:tr>
      <w:tr>
        <w:trPr>
          <w:cantSplit/>
          <w:tblHeader w:val="off"/>
        </w:trPr>
        <w:tc>
          <w:tcPr>
            <w:tcW w:type="dxa" w:w="1666"/>
            <w:vAlign w:val="top"/>
          </w:tcPr>
          <w:p>
            <w:pPr>
              <w:spacing w:after="0" w:before="0" w:line="264"/>
              <w:jc w:val="left"/>
            </w:pPr>
            <w:r>
              <w:rPr>
                <w:rFonts w:ascii="Arial" w:eastAsia="宋体" w:hAnsi="Arial"/>
                <w:b w:val="false"/>
                <w:bCs w:val="false"/>
                <w:color w:val="222A33"/>
                <w:sz w:val="18"/>
                <w:szCs w:val="18"/>
              </w:rPr>
              <w:t xml:space="preserve">11:00</w:t>
            </w:r>
          </w:p>
        </w:tc>
        <w:tc>
          <w:tcPr>
            <w:tcW w:type="dxa" w:w="1894"/>
            <w:vAlign w:val="top"/>
          </w:tcPr>
          <w:p>
            <w:pPr>
              <w:spacing w:after="0" w:before="0" w:line="264"/>
              <w:jc w:val="left"/>
            </w:pPr>
            <w:r>
              <w:rPr>
                <w:rFonts w:ascii="Arial" w:eastAsia="宋体" w:hAnsi="Arial"/>
                <w:b w:val="false"/>
                <w:bCs w:val="false"/>
                <w:color w:val="222A33"/>
                <w:sz w:val="18"/>
                <w:szCs w:val="18"/>
              </w:rPr>
              <w:t xml:space="preserve">处方处理</w:t>
            </w:r>
          </w:p>
        </w:tc>
        <w:tc>
          <w:tcPr>
            <w:tcW w:type="dxa" w:w="3307"/>
            <w:vAlign w:val="top"/>
          </w:tcPr>
          <w:p>
            <w:pPr>
              <w:spacing w:after="0" w:before="0" w:line="264"/>
              <w:jc w:val="left"/>
            </w:pPr>
            <w:r>
              <w:rPr>
                <w:rFonts w:ascii="Arial" w:eastAsia="宋体" w:hAnsi="Arial"/>
                <w:b w:val="false"/>
                <w:bCs w:val="false"/>
                <w:color w:val="222A33"/>
                <w:sz w:val="18"/>
                <w:szCs w:val="18"/>
              </w:rPr>
              <w:t xml:space="preserve">处方作废，未调配、未发药</w:t>
            </w:r>
          </w:p>
        </w:tc>
        <w:tc>
          <w:tcPr>
            <w:tcW w:type="dxa" w:w="2317"/>
            <w:vAlign w:val="top"/>
          </w:tcPr>
          <w:p>
            <w:pPr>
              <w:spacing w:after="0" w:before="0" w:line="264"/>
              <w:jc w:val="left"/>
            </w:pPr>
            <w:r>
              <w:rPr>
                <w:rFonts w:ascii="Arial" w:eastAsia="宋体" w:hAnsi="Arial"/>
                <w:b w:val="false"/>
                <w:bCs w:val="false"/>
                <w:color w:val="222A33"/>
                <w:sz w:val="18"/>
                <w:szCs w:val="18"/>
              </w:rPr>
              <w:t xml:space="preserve">完成</w:t>
            </w:r>
          </w:p>
        </w:tc>
      </w:tr>
      <w:tr>
        <w:trPr>
          <w:cantSplit/>
          <w:tblHeader w:val="off"/>
        </w:trPr>
        <w:tc>
          <w:tcPr>
            <w:tcW w:type="dxa" w:w="1666"/>
            <w:shd w:fill="F5F8FC" w:color="auto" w:val="clear"/>
            <w:vAlign w:val="top"/>
          </w:tcPr>
          <w:p>
            <w:pPr>
              <w:spacing w:after="0" w:before="0" w:line="264"/>
              <w:jc w:val="left"/>
            </w:pPr>
            <w:r>
              <w:rPr>
                <w:rFonts w:ascii="Arial" w:eastAsia="宋体" w:hAnsi="Arial"/>
                <w:b w:val="false"/>
                <w:bCs w:val="false"/>
                <w:color w:val="222A33"/>
                <w:sz w:val="18"/>
                <w:szCs w:val="18"/>
              </w:rPr>
              <w:t xml:space="preserve">11:10</w:t>
            </w:r>
          </w:p>
        </w:tc>
        <w:tc>
          <w:tcPr>
            <w:tcW w:type="dxa" w:w="1894"/>
            <w:shd w:fill="F5F8FC" w:color="auto" w:val="clear"/>
            <w:vAlign w:val="top"/>
          </w:tcPr>
          <w:p>
            <w:pPr>
              <w:spacing w:after="0" w:before="0" w:line="264"/>
              <w:jc w:val="left"/>
            </w:pPr>
            <w:r>
              <w:rPr>
                <w:rFonts w:ascii="Arial" w:eastAsia="宋体" w:hAnsi="Arial"/>
                <w:b w:val="false"/>
                <w:bCs w:val="false"/>
                <w:color w:val="222A33"/>
                <w:sz w:val="18"/>
                <w:szCs w:val="18"/>
              </w:rPr>
              <w:t xml:space="preserve">患者处理</w:t>
            </w:r>
          </w:p>
        </w:tc>
        <w:tc>
          <w:tcPr>
            <w:tcW w:type="dxa" w:w="3307"/>
            <w:shd w:fill="F5F8FC" w:color="auto" w:val="clear"/>
            <w:vAlign w:val="top"/>
          </w:tcPr>
          <w:p>
            <w:pPr>
              <w:spacing w:after="0" w:before="0" w:line="264"/>
              <w:jc w:val="left"/>
            </w:pPr>
            <w:r>
              <w:rPr>
                <w:rFonts w:ascii="Arial" w:eastAsia="宋体" w:hAnsi="Arial"/>
                <w:b w:val="false"/>
                <w:bCs w:val="false"/>
                <w:color w:val="222A33"/>
                <w:sz w:val="18"/>
                <w:szCs w:val="18"/>
              </w:rPr>
              <w:t xml:space="preserve">医师重新评估，另行处理</w:t>
            </w:r>
          </w:p>
        </w:tc>
        <w:tc>
          <w:tcPr>
            <w:tcW w:type="dxa" w:w="2317"/>
            <w:shd w:fill="F5F8FC" w:color="auto" w:val="clear"/>
            <w:vAlign w:val="top"/>
          </w:tcPr>
          <w:p>
            <w:pPr>
              <w:spacing w:after="0" w:before="0" w:line="264"/>
              <w:jc w:val="left"/>
            </w:pPr>
            <w:r>
              <w:rPr>
                <w:rFonts w:ascii="Arial" w:eastAsia="宋体" w:hAnsi="Arial"/>
                <w:b w:val="false"/>
                <w:bCs w:val="false"/>
                <w:color w:val="222A33"/>
                <w:sz w:val="18"/>
                <w:szCs w:val="18"/>
              </w:rPr>
              <w:t xml:space="preserve">患者改约</w:t>
            </w:r>
          </w:p>
        </w:tc>
      </w:tr>
    </w:tbl>
    <w:p>
      <w:pPr>
        <w:spacing w:after="0" w:before="0" w:line="80"/>
      </w:pPr>
    </w:p>
    <w:p>
      <w:pPr>
        <w:pStyle w:val="Heading2"/>
        <w:keepNext/>
        <w:pBdr>
          <w:bottom w:val="single" w:color="D6E3F0" w:sz="6" w:space="2"/>
        </w:pBdr>
      </w:pPr>
      <w:bookmarkStart w:name="_Toc20" w:id="20"/>
      <w:r>
        <w:rPr>
          <w:rFonts w:ascii="Arial" w:eastAsia="黑体" w:hAnsi="Arial"/>
          <w:b/>
          <w:bCs/>
          <w:color w:val="2E5C8A"/>
          <w:sz w:val="28"/>
          <w:szCs w:val="28"/>
        </w:rPr>
        <w:t xml:space="preserve">4.2 最终处置</w:t>
      </w:r>
      <w:bookmarkEnd w:id="20"/>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2821"/>
        <w:gridCol w:w="6363"/>
      </w:tblGrid>
      <w:tr>
        <w:trPr>
          <w:cantSplit/>
          <w:tblHeader/>
        </w:trPr>
        <w:tc>
          <w:tcPr>
            <w:tcW w:type="dxa" w:w="2821"/>
            <w:shd w:fill="DCE9F7" w:color="auto" w:val="clear"/>
            <w:vAlign w:val="center"/>
          </w:tcPr>
          <w:p>
            <w:pPr>
              <w:spacing w:after="0" w:before="0" w:line="264"/>
              <w:jc w:val="center"/>
            </w:pPr>
            <w:r>
              <w:rPr>
                <w:rFonts w:ascii="Arial" w:eastAsia="宋体" w:hAnsi="Arial"/>
                <w:b/>
                <w:bCs/>
                <w:color w:val="1F3A5F"/>
                <w:sz w:val="18"/>
                <w:szCs w:val="18"/>
              </w:rPr>
              <w:t xml:space="preserve">项目</w:t>
            </w:r>
          </w:p>
        </w:tc>
        <w:tc>
          <w:tcPr>
            <w:tcW w:type="dxa" w:w="6363"/>
            <w:shd w:fill="DCE9F7" w:color="auto" w:val="clear"/>
            <w:vAlign w:val="center"/>
          </w:tcPr>
          <w:p>
            <w:pPr>
              <w:spacing w:after="0" w:before="0" w:line="264"/>
              <w:jc w:val="center"/>
            </w:pPr>
            <w:r>
              <w:rPr>
                <w:rFonts w:ascii="Arial" w:eastAsia="宋体" w:hAnsi="Arial"/>
                <w:b/>
                <w:bCs/>
                <w:color w:val="1F3A5F"/>
                <w:sz w:val="18"/>
                <w:szCs w:val="18"/>
              </w:rPr>
              <w:t xml:space="preserve">结果</w:t>
            </w:r>
          </w:p>
        </w:tc>
      </w:tr>
      <w:tr>
        <w:trPr>
          <w:cantSplit/>
          <w:tblHeader w:val="off"/>
        </w:trPr>
        <w:tc>
          <w:tcPr>
            <w:tcW w:type="dxa" w:w="2821"/>
            <w:vAlign w:val="top"/>
          </w:tcPr>
          <w:p>
            <w:pPr>
              <w:spacing w:after="0" w:before="0" w:line="264"/>
              <w:jc w:val="left"/>
            </w:pPr>
            <w:r>
              <w:rPr>
                <w:rFonts w:ascii="Arial" w:eastAsia="宋体" w:hAnsi="Arial"/>
                <w:b w:val="false"/>
                <w:bCs w:val="false"/>
                <w:color w:val="222A33"/>
                <w:sz w:val="18"/>
                <w:szCs w:val="18"/>
              </w:rPr>
              <w:t xml:space="preserve">是否调配</w:t>
            </w:r>
          </w:p>
        </w:tc>
        <w:tc>
          <w:tcPr>
            <w:tcW w:type="dxa" w:w="6363"/>
            <w:vAlign w:val="top"/>
          </w:tcPr>
          <w:p>
            <w:pPr>
              <w:spacing w:after="0" w:before="0" w:line="264"/>
              <w:jc w:val="left"/>
            </w:pPr>
            <w:r>
              <w:rPr>
                <w:rFonts w:ascii="Arial" w:eastAsia="宋体" w:hAnsi="Arial"/>
                <w:b w:val="false"/>
                <w:bCs w:val="false"/>
                <w:color w:val="222A33"/>
                <w:sz w:val="18"/>
                <w:szCs w:val="18"/>
              </w:rPr>
              <w:t xml:space="preserve">否</w:t>
            </w:r>
          </w:p>
        </w:tc>
      </w:tr>
      <w:tr>
        <w:trPr>
          <w:cantSplit/>
          <w:tblHeader w:val="off"/>
        </w:trPr>
        <w:tc>
          <w:tcPr>
            <w:tcW w:type="dxa" w:w="2821"/>
            <w:shd w:fill="F5F8FC" w:color="auto" w:val="clear"/>
            <w:vAlign w:val="top"/>
          </w:tcPr>
          <w:p>
            <w:pPr>
              <w:spacing w:after="0" w:before="0" w:line="264"/>
              <w:jc w:val="left"/>
            </w:pPr>
            <w:r>
              <w:rPr>
                <w:rFonts w:ascii="Arial" w:eastAsia="宋体" w:hAnsi="Arial"/>
                <w:b w:val="false"/>
                <w:bCs w:val="false"/>
                <w:color w:val="222A33"/>
                <w:sz w:val="18"/>
                <w:szCs w:val="18"/>
              </w:rPr>
              <w:t xml:space="preserve">是否发药</w:t>
            </w:r>
          </w:p>
        </w:tc>
        <w:tc>
          <w:tcPr>
            <w:tcW w:type="dxa" w:w="6363"/>
            <w:shd w:fill="F5F8FC" w:color="auto" w:val="clear"/>
            <w:vAlign w:val="top"/>
          </w:tcPr>
          <w:p>
            <w:pPr>
              <w:spacing w:after="0" w:before="0" w:line="264"/>
              <w:jc w:val="left"/>
            </w:pPr>
            <w:r>
              <w:rPr>
                <w:rFonts w:ascii="Arial" w:eastAsia="宋体" w:hAnsi="Arial"/>
                <w:b w:val="false"/>
                <w:bCs w:val="false"/>
                <w:color w:val="222A33"/>
                <w:sz w:val="18"/>
                <w:szCs w:val="18"/>
              </w:rPr>
              <w:t xml:space="preserve">否</w:t>
            </w:r>
          </w:p>
        </w:tc>
      </w:tr>
      <w:tr>
        <w:trPr>
          <w:cantSplit/>
          <w:tblHeader w:val="off"/>
        </w:trPr>
        <w:tc>
          <w:tcPr>
            <w:tcW w:type="dxa" w:w="2821"/>
            <w:vAlign w:val="top"/>
          </w:tcPr>
          <w:p>
            <w:pPr>
              <w:spacing w:after="0" w:before="0" w:line="264"/>
              <w:jc w:val="left"/>
            </w:pPr>
            <w:r>
              <w:rPr>
                <w:rFonts w:ascii="Arial" w:eastAsia="宋体" w:hAnsi="Arial"/>
                <w:b w:val="false"/>
                <w:bCs w:val="false"/>
                <w:color w:val="222A33"/>
                <w:sz w:val="18"/>
                <w:szCs w:val="18"/>
              </w:rPr>
              <w:t xml:space="preserve">处方去向</w:t>
            </w:r>
          </w:p>
        </w:tc>
        <w:tc>
          <w:tcPr>
            <w:tcW w:type="dxa" w:w="6363"/>
            <w:vAlign w:val="top"/>
          </w:tcPr>
          <w:p>
            <w:pPr>
              <w:spacing w:after="0" w:before="0" w:line="264"/>
              <w:jc w:val="left"/>
            </w:pPr>
            <w:r>
              <w:rPr>
                <w:rFonts w:ascii="Arial" w:eastAsia="宋体" w:hAnsi="Arial"/>
                <w:b w:val="false"/>
                <w:bCs w:val="false"/>
                <w:color w:val="222A33"/>
                <w:sz w:val="18"/>
                <w:szCs w:val="18"/>
              </w:rPr>
              <w:t xml:space="preserve">作废并留存审核记录</w:t>
            </w:r>
          </w:p>
        </w:tc>
      </w:tr>
      <w:tr>
        <w:trPr>
          <w:cantSplit/>
          <w:tblHeader w:val="off"/>
        </w:trPr>
        <w:tc>
          <w:tcPr>
            <w:tcW w:type="dxa" w:w="2821"/>
            <w:shd w:fill="F5F8FC" w:color="auto" w:val="clear"/>
            <w:vAlign w:val="top"/>
          </w:tcPr>
          <w:p>
            <w:pPr>
              <w:spacing w:after="0" w:before="0" w:line="264"/>
              <w:jc w:val="left"/>
            </w:pPr>
            <w:r>
              <w:rPr>
                <w:rFonts w:ascii="Arial" w:eastAsia="宋体" w:hAnsi="Arial"/>
                <w:b w:val="false"/>
                <w:bCs w:val="false"/>
                <w:color w:val="222A33"/>
                <w:sz w:val="18"/>
                <w:szCs w:val="18"/>
              </w:rPr>
              <w:t xml:space="preserve">上报</w:t>
            </w:r>
          </w:p>
        </w:tc>
        <w:tc>
          <w:tcPr>
            <w:tcW w:type="dxa" w:w="6363"/>
            <w:shd w:fill="F5F8FC" w:color="auto" w:val="clear"/>
            <w:vAlign w:val="top"/>
          </w:tcPr>
          <w:p>
            <w:pPr>
              <w:spacing w:after="0" w:before="0" w:line="264"/>
              <w:jc w:val="left"/>
            </w:pPr>
            <w:r>
              <w:rPr>
                <w:rFonts w:ascii="Arial" w:eastAsia="宋体" w:hAnsi="Arial"/>
                <w:b w:val="false"/>
                <w:bCs w:val="false"/>
                <w:color w:val="222A33"/>
                <w:sz w:val="18"/>
                <w:szCs w:val="18"/>
              </w:rPr>
              <w:t xml:space="preserve">医务部门/药学部备案（样例）</w:t>
            </w:r>
          </w:p>
        </w:tc>
      </w:tr>
      <w:tr>
        <w:trPr>
          <w:cantSplit/>
          <w:tblHeader w:val="off"/>
        </w:trPr>
        <w:tc>
          <w:tcPr>
            <w:tcW w:type="dxa" w:w="2821"/>
            <w:vAlign w:val="top"/>
          </w:tcPr>
          <w:p>
            <w:pPr>
              <w:spacing w:after="0" w:before="0" w:line="264"/>
              <w:jc w:val="left"/>
            </w:pPr>
            <w:r>
              <w:rPr>
                <w:rFonts w:ascii="Arial" w:eastAsia="宋体" w:hAnsi="Arial"/>
                <w:b w:val="false"/>
                <w:bCs w:val="false"/>
                <w:color w:val="222A33"/>
                <w:sz w:val="18"/>
                <w:szCs w:val="18"/>
              </w:rPr>
              <w:t xml:space="preserve">患者处理</w:t>
            </w:r>
          </w:p>
        </w:tc>
        <w:tc>
          <w:tcPr>
            <w:tcW w:type="dxa" w:w="6363"/>
            <w:vAlign w:val="top"/>
          </w:tcPr>
          <w:p>
            <w:pPr>
              <w:spacing w:after="0" w:before="0" w:line="264"/>
              <w:jc w:val="left"/>
            </w:pPr>
            <w:r>
              <w:rPr>
                <w:rFonts w:ascii="Arial" w:eastAsia="宋体" w:hAnsi="Arial"/>
                <w:b w:val="false"/>
                <w:bCs w:val="false"/>
                <w:color w:val="222A33"/>
                <w:sz w:val="18"/>
                <w:szCs w:val="18"/>
              </w:rPr>
              <w:t xml:space="preserve">由医师重新评估（样例不展开）</w:t>
            </w:r>
          </w:p>
        </w:tc>
      </w:tr>
      <w:tr>
        <w:trPr>
          <w:cantSplit/>
          <w:tblHeader w:val="off"/>
        </w:trPr>
        <w:tc>
          <w:tcPr>
            <w:tcW w:type="dxa" w:w="2821"/>
            <w:shd w:fill="F5F8FC" w:color="auto" w:val="clear"/>
            <w:vAlign w:val="top"/>
          </w:tcPr>
          <w:p>
            <w:pPr>
              <w:spacing w:after="0" w:before="0" w:line="264"/>
              <w:jc w:val="left"/>
            </w:pPr>
            <w:r>
              <w:rPr>
                <w:rFonts w:ascii="Arial" w:eastAsia="宋体" w:hAnsi="Arial"/>
                <w:b w:val="false"/>
                <w:bCs w:val="false"/>
                <w:color w:val="222A33"/>
                <w:sz w:val="18"/>
                <w:szCs w:val="18"/>
              </w:rPr>
              <w:t xml:space="preserve">记录</w:t>
            </w:r>
          </w:p>
        </w:tc>
        <w:tc>
          <w:tcPr>
            <w:tcW w:type="dxa" w:w="6363"/>
            <w:shd w:fill="F5F8FC" w:color="auto" w:val="clear"/>
            <w:vAlign w:val="top"/>
          </w:tcPr>
          <w:p>
            <w:pPr>
              <w:spacing w:after="0" w:before="0" w:line="264"/>
              <w:jc w:val="left"/>
            </w:pPr>
            <w:r>
              <w:rPr>
                <w:rFonts w:ascii="Arial" w:eastAsia="宋体" w:hAnsi="Arial"/>
                <w:b w:val="false"/>
                <w:bCs w:val="false"/>
                <w:color w:val="222A33"/>
                <w:sz w:val="18"/>
                <w:szCs w:val="18"/>
              </w:rPr>
              <w:t xml:space="preserve">审核意见书、沟通记录、处方复印件</w:t>
            </w:r>
          </w:p>
        </w:tc>
      </w:tr>
    </w:tbl>
    <w:p>
      <w:pPr>
        <w:spacing w:after="0" w:before="0" w:line="80"/>
      </w:pPr>
    </w:p>
    <w:p>
      <w:pPr>
        <w:pStyle w:val="Heading2"/>
        <w:keepNext/>
        <w:pBdr>
          <w:bottom w:val="single" w:color="D6E3F0" w:sz="6" w:space="2"/>
        </w:pBdr>
      </w:pPr>
      <w:bookmarkStart w:name="_Toc21" w:id="21"/>
      <w:r>
        <w:rPr>
          <w:rFonts w:ascii="Arial" w:eastAsia="黑体" w:hAnsi="Arial"/>
          <w:b/>
          <w:bCs/>
          <w:color w:val="2E5C8A"/>
          <w:sz w:val="28"/>
          <w:szCs w:val="28"/>
        </w:rPr>
        <w:t xml:space="preserve">4.3 审核意见书（样例）</w:t>
      </w:r>
      <w:bookmarkEnd w:id="21"/>
    </w:p>
    <w:p>
      <w:pPr>
        <w:spacing w:after="120" w:before="0" w:line="360"/>
        <w:ind w:firstLine="420"/>
        <w:jc w:val="both"/>
      </w:pPr>
      <w:r>
        <w:rPr>
          <w:rFonts w:ascii="Times New Roman" w:eastAsia="宋体" w:hAnsi="Times New Roman"/>
          <w:b w:val="false"/>
          <w:bCs w:val="false"/>
          <w:color w:val="222A33"/>
          <w:sz w:val="21"/>
          <w:szCs w:val="21"/>
        </w:rPr>
        <w:t xml:space="preserve">&gt; </w:t>
      </w:r>
      <w:r>
        <w:rPr>
          <w:rFonts w:ascii="Times New Roman" w:eastAsia="宋体" w:hAnsi="Times New Roman"/>
          <w:b/>
          <w:bCs/>
          <w:color w:val="222A33"/>
          <w:sz w:val="21"/>
          <w:szCs w:val="21"/>
        </w:rPr>
        <w:t xml:space="preserve">审核意见：</w:t>
      </w:r>
      <w:r>
        <w:rPr>
          <w:rFonts w:ascii="Times New Roman" w:eastAsia="宋体" w:hAnsi="Times New Roman"/>
          <w:b w:val="false"/>
          <w:bCs w:val="false"/>
          <w:color w:val="222A33"/>
          <w:sz w:val="21"/>
          <w:szCs w:val="21"/>
        </w:rPr>
        <w:t xml:space="preserve"> 处方含人参 9 g 与五灵脂 10 g，属“十九畏”配伍禁忌；吴茱萸 10 g 超过药典 2～5 g 上限；人参未注明另煎，五灵脂未注明包煎。建议退回修改。医师未修改，依据《处方管理办法》及《医疗机构处方审核规范》拒绝调配并上报。</w:t>
      </w:r>
    </w:p>
    <w:p>
      <w:pPr>
        <w:spacing w:after="120" w:before="0" w:line="360"/>
        <w:ind w:firstLine="420"/>
        <w:jc w:val="both"/>
      </w:pPr>
      <w:r>
        <w:rPr>
          <w:rFonts w:ascii="Times New Roman" w:eastAsia="宋体" w:hAnsi="Times New Roman"/>
          <w:b w:val="false"/>
          <w:bCs w:val="false"/>
          <w:color w:val="222A33"/>
          <w:sz w:val="21"/>
          <w:szCs w:val="21"/>
        </w:rPr>
        <w:t xml:space="preserve">&gt;</w:t>
      </w:r>
    </w:p>
    <w:p>
      <w:pPr>
        <w:spacing w:after="120" w:before="0" w:line="360"/>
        <w:ind w:firstLine="420"/>
        <w:jc w:val="both"/>
      </w:pPr>
      <w:r>
        <w:rPr>
          <w:rFonts w:ascii="Times New Roman" w:eastAsia="宋体" w:hAnsi="Times New Roman"/>
          <w:b w:val="false"/>
          <w:bCs w:val="false"/>
          <w:color w:val="222A33"/>
          <w:sz w:val="21"/>
          <w:szCs w:val="21"/>
        </w:rPr>
        <w:t xml:space="preserve">&gt; 审核药师：赵某某（化名）　审核时间：2026-10-28 10:40（示例）</w:t>
      </w:r>
    </w:p>
    <w:p>
      <w:pPr>
        <w:pStyle w:val="Heading1"/>
        <w:keepNext/>
        <w:pageBreakBefore/>
        <w:pBdr>
          <w:bottom w:val="single" w:color="B7CCE3" w:sz="8" w:space="4"/>
        </w:pBdr>
      </w:pPr>
      <w:bookmarkStart w:name="_Toc22" w:id="22"/>
      <w:r>
        <w:rPr>
          <w:rFonts w:ascii="Arial" w:eastAsia="黑体" w:hAnsi="Arial"/>
          <w:b/>
          <w:bCs/>
          <w:color w:val="1F3A5F"/>
          <w:sz w:val="36"/>
          <w:szCs w:val="36"/>
        </w:rPr>
        <w:t xml:space="preserve">五、复盘与改进</w:t>
      </w:r>
      <w:bookmarkEnd w:id="22"/>
    </w:p>
    <w:p>
      <w:pPr>
        <w:pStyle w:val="Heading2"/>
        <w:keepNext/>
        <w:pBdr>
          <w:bottom w:val="single" w:color="D6E3F0" w:sz="6" w:space="2"/>
        </w:pBdr>
      </w:pPr>
      <w:bookmarkStart w:name="_Toc23" w:id="23"/>
      <w:r>
        <w:rPr>
          <w:rFonts w:ascii="Arial" w:eastAsia="黑体" w:hAnsi="Arial"/>
          <w:b/>
          <w:bCs/>
          <w:color w:val="2E5C8A"/>
          <w:sz w:val="28"/>
          <w:szCs w:val="28"/>
        </w:rPr>
        <w:t xml:space="preserve">5.1 根因分析</w:t>
      </w:r>
      <w:bookmarkEnd w:id="23"/>
    </w:p>
    <w:tbl>
      <w:tblPr>
        <w:tblW w:type="dxa" w:w="9184"/>
        <w:jc w:val="center"/>
        <w:tblBorders>
          <w:top w:val="single" w:color="A9BFD6" w:sz="6"/>
          <w:left w:val="single" w:color="A9BFD6" w:sz="6"/>
          <w:bottom w:val="single" w:color="A9BFD6" w:sz="6"/>
          <w:right w:val="single" w:color="A9BFD6" w:sz="6"/>
          <w:insideH w:val="single" w:color="D6E2EF" w:sz="4"/>
          <w:insideV w:val="single" w:color="D6E2EF" w:sz="4"/>
        </w:tblBorders>
        <w:tblLayout w:type="fixed"/>
        <w:tblCellMar>
          <w:top w:type="dxa" w:w="50"/>
          <w:left w:type="dxa" w:w="110"/>
          <w:bottom w:type="dxa" w:w="50"/>
          <w:right w:type="dxa" w:w="110"/>
        </w:tblCellMar>
      </w:tblPr>
      <w:tblGrid>
        <w:gridCol w:w="1934"/>
        <w:gridCol w:w="3360"/>
        <w:gridCol w:w="3890"/>
      </w:tblGrid>
      <w:tr>
        <w:trPr>
          <w:cantSplit/>
          <w:tblHeader/>
        </w:trPr>
        <w:tc>
          <w:tcPr>
            <w:tcW w:type="dxa" w:w="1934"/>
            <w:shd w:fill="DCE9F7" w:color="auto" w:val="clear"/>
            <w:vAlign w:val="center"/>
          </w:tcPr>
          <w:p>
            <w:pPr>
              <w:spacing w:after="0" w:before="0" w:line="264"/>
              <w:jc w:val="center"/>
            </w:pPr>
            <w:r>
              <w:rPr>
                <w:rFonts w:ascii="Arial" w:eastAsia="宋体" w:hAnsi="Arial"/>
                <w:b/>
                <w:bCs/>
                <w:color w:val="1F3A5F"/>
                <w:sz w:val="18"/>
                <w:szCs w:val="18"/>
              </w:rPr>
              <w:t xml:space="preserve">环节</w:t>
            </w:r>
          </w:p>
        </w:tc>
        <w:tc>
          <w:tcPr>
            <w:tcW w:type="dxa" w:w="3360"/>
            <w:shd w:fill="DCE9F7" w:color="auto" w:val="clear"/>
            <w:vAlign w:val="center"/>
          </w:tcPr>
          <w:p>
            <w:pPr>
              <w:spacing w:after="0" w:before="0" w:line="264"/>
              <w:jc w:val="center"/>
            </w:pPr>
            <w:r>
              <w:rPr>
                <w:rFonts w:ascii="Arial" w:eastAsia="宋体" w:hAnsi="Arial"/>
                <w:b/>
                <w:bCs/>
                <w:color w:val="1F3A5F"/>
                <w:sz w:val="18"/>
                <w:szCs w:val="18"/>
              </w:rPr>
              <w:t xml:space="preserve">问题</w:t>
            </w:r>
          </w:p>
        </w:tc>
        <w:tc>
          <w:tcPr>
            <w:tcW w:type="dxa" w:w="3890"/>
            <w:shd w:fill="DCE9F7" w:color="auto" w:val="clear"/>
            <w:vAlign w:val="center"/>
          </w:tcPr>
          <w:p>
            <w:pPr>
              <w:spacing w:after="0" w:before="0" w:line="264"/>
              <w:jc w:val="center"/>
            </w:pPr>
            <w:r>
              <w:rPr>
                <w:rFonts w:ascii="Arial" w:eastAsia="宋体" w:hAnsi="Arial"/>
                <w:b/>
                <w:bCs/>
                <w:color w:val="1F3A5F"/>
                <w:sz w:val="18"/>
                <w:szCs w:val="18"/>
              </w:rPr>
              <w:t xml:space="preserve">说明</w:t>
            </w:r>
          </w:p>
        </w:tc>
      </w:tr>
      <w:tr>
        <w:trPr>
          <w:cantSplit/>
          <w:tblHeader w:val="off"/>
        </w:trPr>
        <w:tc>
          <w:tcPr>
            <w:tcW w:type="dxa" w:w="1934"/>
            <w:vAlign w:val="top"/>
          </w:tcPr>
          <w:p>
            <w:pPr>
              <w:spacing w:after="0" w:before="0" w:line="264"/>
              <w:jc w:val="left"/>
            </w:pPr>
            <w:r>
              <w:rPr>
                <w:rFonts w:ascii="Arial" w:eastAsia="宋体" w:hAnsi="Arial"/>
                <w:b w:val="false"/>
                <w:bCs w:val="false"/>
                <w:color w:val="222A33"/>
                <w:sz w:val="18"/>
                <w:szCs w:val="18"/>
              </w:rPr>
              <w:t xml:space="preserve">医师开具</w:t>
            </w:r>
          </w:p>
        </w:tc>
        <w:tc>
          <w:tcPr>
            <w:tcW w:type="dxa" w:w="3360"/>
            <w:vAlign w:val="top"/>
          </w:tcPr>
          <w:p>
            <w:pPr>
              <w:spacing w:after="0" w:before="0" w:line="264"/>
              <w:jc w:val="left"/>
            </w:pPr>
            <w:r>
              <w:rPr>
                <w:rFonts w:ascii="Arial" w:eastAsia="宋体" w:hAnsi="Arial"/>
                <w:b w:val="false"/>
                <w:bCs w:val="false"/>
                <w:color w:val="222A33"/>
                <w:sz w:val="18"/>
                <w:szCs w:val="18"/>
              </w:rPr>
              <w:t xml:space="preserve">对十九畏和吴茱萸剂量上限不熟悉</w:t>
            </w:r>
          </w:p>
        </w:tc>
        <w:tc>
          <w:tcPr>
            <w:tcW w:type="dxa" w:w="3890"/>
            <w:vAlign w:val="top"/>
          </w:tcPr>
          <w:p>
            <w:pPr>
              <w:spacing w:after="0" w:before="0" w:line="264"/>
              <w:jc w:val="left"/>
            </w:pPr>
            <w:r>
              <w:rPr>
                <w:rFonts w:ascii="Arial" w:eastAsia="宋体" w:hAnsi="Arial"/>
                <w:b w:val="false"/>
                <w:bCs w:val="false"/>
                <w:color w:val="222A33"/>
                <w:sz w:val="18"/>
                <w:szCs w:val="18"/>
              </w:rPr>
              <w:t xml:space="preserve">以“古方有先例”为由坚持原方</w:t>
            </w:r>
          </w:p>
        </w:tc>
      </w:tr>
      <w:tr>
        <w:trPr>
          <w:cantSplit/>
          <w:tblHeader w:val="off"/>
        </w:trPr>
        <w:tc>
          <w:tcPr>
            <w:tcW w:type="dxa" w:w="1934"/>
            <w:shd w:fill="F5F8FC" w:color="auto" w:val="clear"/>
            <w:vAlign w:val="top"/>
          </w:tcPr>
          <w:p>
            <w:pPr>
              <w:spacing w:after="0" w:before="0" w:line="264"/>
              <w:jc w:val="left"/>
            </w:pPr>
            <w:r>
              <w:rPr>
                <w:rFonts w:ascii="Arial" w:eastAsia="宋体" w:hAnsi="Arial"/>
                <w:b w:val="false"/>
                <w:bCs w:val="false"/>
                <w:color w:val="222A33"/>
                <w:sz w:val="18"/>
                <w:szCs w:val="18"/>
              </w:rPr>
              <w:t xml:space="preserve">电子处方</w:t>
            </w:r>
          </w:p>
        </w:tc>
        <w:tc>
          <w:tcPr>
            <w:tcW w:type="dxa" w:w="3360"/>
            <w:shd w:fill="F5F8FC" w:color="auto" w:val="clear"/>
            <w:vAlign w:val="top"/>
          </w:tcPr>
          <w:p>
            <w:pPr>
              <w:spacing w:after="0" w:before="0" w:line="264"/>
              <w:jc w:val="left"/>
            </w:pPr>
            <w:r>
              <w:rPr>
                <w:rFonts w:ascii="Arial" w:eastAsia="宋体" w:hAnsi="Arial"/>
                <w:b w:val="false"/>
                <w:bCs w:val="false"/>
                <w:color w:val="222A33"/>
                <w:sz w:val="18"/>
                <w:szCs w:val="18"/>
              </w:rPr>
              <w:t xml:space="preserve">缺少配伍禁忌和剂量上限硬性拦截</w:t>
            </w:r>
          </w:p>
        </w:tc>
        <w:tc>
          <w:tcPr>
            <w:tcW w:type="dxa" w:w="3890"/>
            <w:shd w:fill="F5F8FC" w:color="auto" w:val="clear"/>
            <w:vAlign w:val="top"/>
          </w:tcPr>
          <w:p>
            <w:pPr>
              <w:spacing w:after="0" w:before="0" w:line="264"/>
              <w:jc w:val="left"/>
            </w:pPr>
            <w:r>
              <w:rPr>
                <w:rFonts w:ascii="Arial" w:eastAsia="宋体" w:hAnsi="Arial"/>
                <w:b w:val="false"/>
                <w:bCs w:val="false"/>
                <w:color w:val="222A33"/>
                <w:sz w:val="18"/>
                <w:szCs w:val="18"/>
              </w:rPr>
              <w:t xml:space="preserve">人参 + 五灵脂、吴茱萸 10 g 未被系统提示</w:t>
            </w:r>
          </w:p>
        </w:tc>
      </w:tr>
      <w:tr>
        <w:trPr>
          <w:cantSplit/>
          <w:tblHeader w:val="off"/>
        </w:trPr>
        <w:tc>
          <w:tcPr>
            <w:tcW w:type="dxa" w:w="1934"/>
            <w:vAlign w:val="top"/>
          </w:tcPr>
          <w:p>
            <w:pPr>
              <w:spacing w:after="0" w:before="0" w:line="264"/>
              <w:jc w:val="left"/>
            </w:pPr>
            <w:r>
              <w:rPr>
                <w:rFonts w:ascii="Arial" w:eastAsia="宋体" w:hAnsi="Arial"/>
                <w:b w:val="false"/>
                <w:bCs w:val="false"/>
                <w:color w:val="222A33"/>
                <w:sz w:val="18"/>
                <w:szCs w:val="18"/>
              </w:rPr>
              <w:t xml:space="preserve">药师审核</w:t>
            </w:r>
          </w:p>
        </w:tc>
        <w:tc>
          <w:tcPr>
            <w:tcW w:type="dxa" w:w="3360"/>
            <w:vAlign w:val="top"/>
          </w:tcPr>
          <w:p>
            <w:pPr>
              <w:spacing w:after="0" w:before="0" w:line="264"/>
              <w:jc w:val="left"/>
            </w:pPr>
            <w:r>
              <w:rPr>
                <w:rFonts w:ascii="Arial" w:eastAsia="宋体" w:hAnsi="Arial"/>
                <w:b w:val="false"/>
                <w:bCs w:val="false"/>
                <w:color w:val="222A33"/>
                <w:sz w:val="18"/>
                <w:szCs w:val="18"/>
              </w:rPr>
              <w:t xml:space="preserve">发现及时，但沟通耗时</w:t>
            </w:r>
          </w:p>
        </w:tc>
        <w:tc>
          <w:tcPr>
            <w:tcW w:type="dxa" w:w="3890"/>
            <w:vAlign w:val="top"/>
          </w:tcPr>
          <w:p>
            <w:pPr>
              <w:spacing w:after="0" w:before="0" w:line="264"/>
              <w:jc w:val="left"/>
            </w:pPr>
            <w:r>
              <w:rPr>
                <w:rFonts w:ascii="Arial" w:eastAsia="宋体" w:hAnsi="Arial"/>
                <w:b w:val="false"/>
                <w:bCs w:val="false"/>
                <w:color w:val="222A33"/>
                <w:sz w:val="18"/>
                <w:szCs w:val="18"/>
              </w:rPr>
              <w:t xml:space="preserve">两次沟通后仍无法达成一致</w:t>
            </w:r>
          </w:p>
        </w:tc>
      </w:tr>
      <w:tr>
        <w:trPr>
          <w:cantSplit/>
          <w:tblHeader w:val="off"/>
        </w:trPr>
        <w:tc>
          <w:tcPr>
            <w:tcW w:type="dxa" w:w="1934"/>
            <w:shd w:fill="F5F8FC" w:color="auto" w:val="clear"/>
            <w:vAlign w:val="top"/>
          </w:tcPr>
          <w:p>
            <w:pPr>
              <w:spacing w:after="0" w:before="0" w:line="264"/>
              <w:jc w:val="left"/>
            </w:pPr>
            <w:r>
              <w:rPr>
                <w:rFonts w:ascii="Arial" w:eastAsia="宋体" w:hAnsi="Arial"/>
                <w:b w:val="false"/>
                <w:bCs w:val="false"/>
                <w:color w:val="222A33"/>
                <w:sz w:val="18"/>
                <w:szCs w:val="18"/>
              </w:rPr>
              <w:t xml:space="preserve">患者信息</w:t>
            </w:r>
          </w:p>
        </w:tc>
        <w:tc>
          <w:tcPr>
            <w:tcW w:type="dxa" w:w="3360"/>
            <w:shd w:fill="F5F8FC" w:color="auto" w:val="clear"/>
            <w:vAlign w:val="top"/>
          </w:tcPr>
          <w:p>
            <w:pPr>
              <w:spacing w:after="0" w:before="0" w:line="264"/>
              <w:jc w:val="left"/>
            </w:pPr>
            <w:r>
              <w:rPr>
                <w:rFonts w:ascii="Arial" w:eastAsia="宋体" w:hAnsi="Arial"/>
                <w:b w:val="false"/>
                <w:bCs w:val="false"/>
                <w:color w:val="222A33"/>
                <w:sz w:val="18"/>
                <w:szCs w:val="18"/>
              </w:rPr>
              <w:t xml:space="preserve">高血压用药史未在处方上体现</w:t>
            </w:r>
          </w:p>
        </w:tc>
        <w:tc>
          <w:tcPr>
            <w:tcW w:type="dxa" w:w="3890"/>
            <w:shd w:fill="F5F8FC" w:color="auto" w:val="clear"/>
            <w:vAlign w:val="top"/>
          </w:tcPr>
          <w:p>
            <w:pPr>
              <w:spacing w:after="0" w:before="0" w:line="264"/>
              <w:jc w:val="left"/>
            </w:pPr>
            <w:r>
              <w:rPr>
                <w:rFonts w:ascii="Arial" w:eastAsia="宋体" w:hAnsi="Arial"/>
                <w:b w:val="false"/>
                <w:bCs w:val="false"/>
                <w:color w:val="222A33"/>
                <w:sz w:val="18"/>
                <w:szCs w:val="18"/>
              </w:rPr>
              <w:t xml:space="preserve">甘草长期风险未被充分评估</w:t>
            </w:r>
          </w:p>
        </w:tc>
      </w:tr>
      <w:tr>
        <w:trPr>
          <w:cantSplit/>
          <w:tblHeader w:val="off"/>
        </w:trPr>
        <w:tc>
          <w:tcPr>
            <w:tcW w:type="dxa" w:w="1934"/>
            <w:vAlign w:val="top"/>
          </w:tcPr>
          <w:p>
            <w:pPr>
              <w:spacing w:after="0" w:before="0" w:line="264"/>
              <w:jc w:val="left"/>
            </w:pPr>
            <w:r>
              <w:rPr>
                <w:rFonts w:ascii="Arial" w:eastAsia="宋体" w:hAnsi="Arial"/>
                <w:b w:val="false"/>
                <w:bCs w:val="false"/>
                <w:color w:val="222A33"/>
                <w:sz w:val="18"/>
                <w:szCs w:val="18"/>
              </w:rPr>
              <w:t xml:space="preserve">制度执行</w:t>
            </w:r>
          </w:p>
        </w:tc>
        <w:tc>
          <w:tcPr>
            <w:tcW w:type="dxa" w:w="3360"/>
            <w:vAlign w:val="top"/>
          </w:tcPr>
          <w:p>
            <w:pPr>
              <w:spacing w:after="0" w:before="0" w:line="264"/>
              <w:jc w:val="left"/>
            </w:pPr>
            <w:r>
              <w:rPr>
                <w:rFonts w:ascii="Arial" w:eastAsia="宋体" w:hAnsi="Arial"/>
                <w:b w:val="false"/>
                <w:bCs w:val="false"/>
                <w:color w:val="222A33"/>
                <w:sz w:val="18"/>
                <w:szCs w:val="18"/>
              </w:rPr>
              <w:t xml:space="preserve">上报流程明确</w:t>
            </w:r>
          </w:p>
        </w:tc>
        <w:tc>
          <w:tcPr>
            <w:tcW w:type="dxa" w:w="3890"/>
            <w:vAlign w:val="top"/>
          </w:tcPr>
          <w:p>
            <w:pPr>
              <w:spacing w:after="0" w:before="0" w:line="264"/>
              <w:jc w:val="left"/>
            </w:pPr>
            <w:r>
              <w:rPr>
                <w:rFonts w:ascii="Arial" w:eastAsia="宋体" w:hAnsi="Arial"/>
                <w:b w:val="false"/>
                <w:bCs w:val="false"/>
                <w:color w:val="222A33"/>
                <w:sz w:val="18"/>
                <w:szCs w:val="18"/>
              </w:rPr>
              <w:t xml:space="preserve">处方作废、记录完整</w:t>
            </w:r>
          </w:p>
        </w:tc>
      </w:tr>
    </w:tbl>
    <w:p>
      <w:pPr>
        <w:spacing w:after="0" w:before="0" w:line="80"/>
      </w:pPr>
    </w:p>
    <w:p>
      <w:pPr>
        <w:pStyle w:val="Heading2"/>
        <w:keepNext/>
        <w:pBdr>
          <w:bottom w:val="single" w:color="D6E3F0" w:sz="6" w:space="2"/>
        </w:pBdr>
      </w:pPr>
      <w:bookmarkStart w:name="_Toc24" w:id="24"/>
      <w:r>
        <w:rPr>
          <w:rFonts w:ascii="Arial" w:eastAsia="黑体" w:hAnsi="Arial"/>
          <w:b/>
          <w:bCs/>
          <w:color w:val="2E5C8A"/>
          <w:sz w:val="28"/>
          <w:szCs w:val="28"/>
        </w:rPr>
        <w:t xml:space="preserve">5.2 改进措施</w:t>
      </w:r>
      <w:bookmarkEnd w:id="24"/>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在 HIS/审方系统中维护规则：人参—五灵脂互斥提醒；吴茱萸单味上限 5 g；人参默认“另煎”，五灵脂默认“包煎”。</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对医师开展十九畏、毒性饮片剂量和特殊煎法培训。</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在处方上增加“既往史/现用药”字段，便于评估甘草与降压药等相互作用。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对拒绝调配案例进行月度复盘，匿名分享，避免只处罚不改进。</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向患者说明未调配原因和后续处理，避免患者自行购药服用。</w:t>
      </w:r>
    </w:p>
    <w:p>
      <w:pPr>
        <w:pStyle w:val="Heading2"/>
        <w:keepNext/>
        <w:pBdr>
          <w:bottom w:val="single" w:color="D6E3F0" w:sz="6" w:space="2"/>
        </w:pBdr>
      </w:pPr>
      <w:bookmarkStart w:name="_Toc25" w:id="25"/>
      <w:r>
        <w:rPr>
          <w:rFonts w:ascii="Arial" w:eastAsia="黑体" w:hAnsi="Arial"/>
          <w:b/>
          <w:bCs/>
          <w:color w:val="2E5C8A"/>
          <w:sz w:val="28"/>
          <w:szCs w:val="28"/>
        </w:rPr>
        <w:t xml:space="preserve">5.3 可复用审核要点</w:t>
      </w:r>
      <w:bookmarkEnd w:id="25"/>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先看诊断与治法，再看方药是否相符。</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逐味核对药典/规范用量，标记上限和超量。</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检查十八反、十九畏、妊娠禁忌、证候禁忌。</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检查特殊煎法：先煎、后下、包煎、另煎、烊化、冲服。</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检查重复用药和中西药相互作用。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发现问题先联系医师；医师不修改时按制度记录、拒绝调配、上报。</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 ] 向患者做用药交代和风险告知。</w:t>
      </w:r>
    </w:p>
    <w:p>
      <w:pPr>
        <w:pStyle w:val="Heading1"/>
        <w:keepNext/>
        <w:pageBreakBefore/>
        <w:pBdr>
          <w:bottom w:val="single" w:color="B7CCE3" w:sz="8" w:space="4"/>
        </w:pBdr>
      </w:pPr>
      <w:bookmarkStart w:name="_Toc26" w:id="26"/>
      <w:r>
        <w:rPr>
          <w:rFonts w:ascii="Arial" w:eastAsia="黑体" w:hAnsi="Arial"/>
          <w:b/>
          <w:bCs/>
          <w:color w:val="1F3A5F"/>
          <w:sz w:val="36"/>
          <w:szCs w:val="36"/>
        </w:rPr>
        <w:t xml:space="preserve">六、审核依据</w:t>
      </w:r>
      <w:bookmarkEnd w:id="26"/>
    </w:p>
    <w:p>
      <w:pPr>
        <w:pStyle w:val="ListParagraph"/>
        <w:numPr>
          <w:ilvl w:val="0"/>
          <w:numId w:val="4"/>
        </w:numPr>
        <w:spacing w:after="80" w:before="0" w:line="348"/>
      </w:pPr>
      <w:r>
        <w:rPr>
          <w:rFonts w:ascii="Times New Roman" w:eastAsia="宋体" w:hAnsi="Times New Roman"/>
          <w:b/>
          <w:bCs/>
          <w:color w:val="222A33"/>
          <w:sz w:val="21"/>
          <w:szCs w:val="21"/>
        </w:rPr>
        <w:t xml:space="preserve">十九畏歌诀：</w:t>
      </w:r>
      <w:r>
        <w:rPr>
          <w:rFonts w:ascii="Times New Roman" w:eastAsia="宋体" w:hAnsi="Times New Roman"/>
          <w:b w:val="false"/>
          <w:bCs w:val="false"/>
          <w:color w:val="222A33"/>
          <w:sz w:val="21"/>
          <w:szCs w:val="21"/>
        </w:rPr>
        <w:t xml:space="preserve"> “硫黄原是火中精，朴硝一见便相争……人参最怕五灵脂……”；人参畏五灵脂属配伍禁忌。</w:t>
      </w:r>
    </w:p>
    <w:p>
      <w:pPr>
        <w:pStyle w:val="ListParagraph"/>
        <w:numPr>
          <w:ilvl w:val="0"/>
          <w:numId w:val="4"/>
        </w:numPr>
        <w:spacing w:after="80" w:before="0" w:line="348"/>
      </w:pPr>
      <w:r>
        <w:rPr>
          <w:rFonts w:ascii="Times New Roman" w:eastAsia="宋体" w:hAnsi="Times New Roman"/>
          <w:b/>
          <w:bCs/>
          <w:color w:val="222A33"/>
          <w:sz w:val="21"/>
          <w:szCs w:val="21"/>
        </w:rPr>
        <w:t xml:space="preserve">现行版《中国药典》一部“人参”条目：</w:t>
      </w:r>
      <w:r>
        <w:rPr>
          <w:rFonts w:ascii="Times New Roman" w:eastAsia="宋体" w:hAnsi="Times New Roman"/>
          <w:b w:val="false"/>
          <w:bCs w:val="false"/>
          <w:color w:val="222A33"/>
          <w:sz w:val="21"/>
          <w:szCs w:val="21"/>
        </w:rPr>
        <w:t xml:space="preserve"> 不宜与藜芦、五灵脂同用；用量 3～9 g，另煎兑服。</w:t>
      </w:r>
    </w:p>
    <w:p>
      <w:pPr>
        <w:pStyle w:val="ListParagraph"/>
        <w:numPr>
          <w:ilvl w:val="0"/>
          <w:numId w:val="4"/>
        </w:numPr>
        <w:spacing w:after="80" w:before="0" w:line="348"/>
      </w:pPr>
      <w:r>
        <w:rPr>
          <w:rFonts w:ascii="Times New Roman" w:eastAsia="宋体" w:hAnsi="Times New Roman"/>
          <w:b/>
          <w:bCs/>
          <w:color w:val="222A33"/>
          <w:sz w:val="21"/>
          <w:szCs w:val="21"/>
        </w:rPr>
        <w:t xml:space="preserve">现行版《中国药典》一部“吴茱萸”条目：</w:t>
      </w:r>
      <w:r>
        <w:rPr>
          <w:rFonts w:ascii="Times New Roman" w:eastAsia="宋体" w:hAnsi="Times New Roman"/>
          <w:b w:val="false"/>
          <w:bCs w:val="false"/>
          <w:color w:val="222A33"/>
          <w:sz w:val="21"/>
          <w:szCs w:val="21"/>
        </w:rPr>
        <w:t xml:space="preserve"> 用量 2～5 g；辛、苦，热；有小毒；不宜多用久服。</w:t>
      </w:r>
    </w:p>
    <w:p>
      <w:pPr>
        <w:pStyle w:val="ListParagraph"/>
        <w:numPr>
          <w:ilvl w:val="0"/>
          <w:numId w:val="4"/>
        </w:numPr>
        <w:spacing w:after="80" w:before="0" w:line="348"/>
      </w:pPr>
      <w:r>
        <w:rPr>
          <w:rFonts w:ascii="Times New Roman" w:eastAsia="宋体" w:hAnsi="Times New Roman"/>
          <w:b/>
          <w:bCs/>
          <w:color w:val="222A33"/>
          <w:sz w:val="21"/>
          <w:szCs w:val="21"/>
        </w:rPr>
        <w:t xml:space="preserve">五灵脂：</w:t>
      </w:r>
      <w:r>
        <w:rPr>
          <w:rFonts w:ascii="Times New Roman" w:eastAsia="宋体" w:hAnsi="Times New Roman"/>
          <w:b w:val="false"/>
          <w:bCs w:val="false"/>
          <w:color w:val="222A33"/>
          <w:sz w:val="21"/>
          <w:szCs w:val="21"/>
        </w:rPr>
        <w:t xml:space="preserve"> 常用 5～10 g，包煎；如未被现行版《中国药典》收载，按现行药品标准或地方中药饮片炮制规范执行。</w:t>
      </w:r>
    </w:p>
    <w:p>
      <w:pPr>
        <w:pStyle w:val="ListParagraph"/>
        <w:numPr>
          <w:ilvl w:val="0"/>
          <w:numId w:val="4"/>
        </w:numPr>
        <w:spacing w:after="80" w:before="0" w:line="348"/>
      </w:pPr>
      <w:r>
        <w:rPr>
          <w:rFonts w:ascii="Times New Roman" w:eastAsia="宋体" w:hAnsi="Times New Roman"/>
          <w:b/>
          <w:bCs/>
          <w:color w:val="222A33"/>
          <w:sz w:val="21"/>
          <w:szCs w:val="21"/>
        </w:rPr>
        <w:t xml:space="preserve">甘草：</w:t>
      </w:r>
      <w:r>
        <w:rPr>
          <w:rFonts w:ascii="Times New Roman" w:eastAsia="宋体" w:hAnsi="Times New Roman"/>
          <w:b w:val="false"/>
          <w:bCs w:val="false"/>
          <w:color w:val="222A33"/>
          <w:sz w:val="21"/>
          <w:szCs w:val="21"/>
        </w:rPr>
        <w:t xml:space="preserve"> 现行版《中国药典》用量 2～10 g；长期或大剂量使用可能导致水钠潴留、血压升高、低钾等，高血压患者需监测。</w:t>
      </w:r>
    </w:p>
    <w:p>
      <w:pPr>
        <w:pStyle w:val="ListParagraph"/>
        <w:numPr>
          <w:ilvl w:val="0"/>
          <w:numId w:val="4"/>
        </w:numPr>
        <w:spacing w:after="80" w:before="0" w:line="348"/>
      </w:pPr>
      <w:r>
        <w:rPr>
          <w:rFonts w:ascii="Times New Roman" w:eastAsia="宋体" w:hAnsi="Times New Roman"/>
          <w:b/>
          <w:bCs/>
          <w:color w:val="222A33"/>
          <w:sz w:val="21"/>
          <w:szCs w:val="21"/>
        </w:rPr>
        <w:t xml:space="preserve">《中华人民共和国药典临床用药须知·中药饮片卷》：</w:t>
      </w:r>
      <w:r>
        <w:rPr>
          <w:rFonts w:ascii="Times New Roman" w:eastAsia="宋体" w:hAnsi="Times New Roman"/>
          <w:b w:val="false"/>
          <w:bCs w:val="false"/>
          <w:color w:val="222A33"/>
          <w:sz w:val="21"/>
          <w:szCs w:val="21"/>
        </w:rPr>
        <w:t xml:space="preserve"> 配伍禁忌、毒性饮片用量与用法。</w:t>
      </w:r>
    </w:p>
    <w:p>
      <w:pPr>
        <w:pStyle w:val="ListParagraph"/>
        <w:numPr>
          <w:ilvl w:val="0"/>
          <w:numId w:val="4"/>
        </w:numPr>
        <w:spacing w:after="80" w:before="0" w:line="348"/>
      </w:pPr>
      <w:r>
        <w:rPr>
          <w:rFonts w:ascii="Times New Roman" w:eastAsia="宋体" w:hAnsi="Times New Roman"/>
          <w:b/>
          <w:bCs/>
          <w:color w:val="222A33"/>
          <w:sz w:val="21"/>
          <w:szCs w:val="21"/>
        </w:rPr>
        <w:t xml:space="preserve">《处方管理办法》（卫生部令第 53 号）：</w:t>
      </w:r>
      <w:r>
        <w:rPr>
          <w:rFonts w:ascii="Times New Roman" w:eastAsia="宋体" w:hAnsi="Times New Roman"/>
          <w:b w:val="false"/>
          <w:bCs w:val="false"/>
          <w:color w:val="222A33"/>
          <w:sz w:val="21"/>
          <w:szCs w:val="21"/>
        </w:rPr>
        <w:t xml:space="preserve"> 药师发现严重不合理用药或用药错误，应拒绝调配、告知处方医师、记录并按规定报告。</w:t>
      </w:r>
    </w:p>
    <w:p>
      <w:pPr>
        <w:pStyle w:val="ListParagraph"/>
        <w:numPr>
          <w:ilvl w:val="0"/>
          <w:numId w:val="4"/>
        </w:numPr>
        <w:spacing w:after="80" w:before="0" w:line="348"/>
      </w:pPr>
      <w:r>
        <w:rPr>
          <w:rFonts w:ascii="Times New Roman" w:eastAsia="宋体" w:hAnsi="Times New Roman"/>
          <w:b/>
          <w:bCs/>
          <w:color w:val="222A33"/>
          <w:sz w:val="21"/>
          <w:szCs w:val="21"/>
        </w:rPr>
        <w:t xml:space="preserve">《医疗机构处方审核规范》（国卫办医发〔2018〕14 号）：</w:t>
      </w:r>
      <w:r>
        <w:rPr>
          <w:rFonts w:ascii="Times New Roman" w:eastAsia="宋体" w:hAnsi="Times New Roman"/>
          <w:b w:val="false"/>
          <w:bCs w:val="false"/>
          <w:color w:val="222A33"/>
          <w:sz w:val="21"/>
          <w:szCs w:val="21"/>
        </w:rPr>
        <w:t xml:space="preserve"> 药师对处方合法性、规范性、适宜性进行审核；发现问题应联系医师，医师未修改的不得调配。</w:t>
      </w:r>
    </w:p>
    <w:p>
      <w:pPr>
        <w:pStyle w:val="ListParagraph"/>
        <w:numPr>
          <w:ilvl w:val="0"/>
          <w:numId w:val="4"/>
        </w:numPr>
        <w:spacing w:after="80" w:before="0" w:line="348"/>
      </w:pPr>
      <w:r>
        <w:rPr>
          <w:rFonts w:ascii="Times New Roman" w:eastAsia="宋体" w:hAnsi="Times New Roman"/>
          <w:b/>
          <w:bCs/>
          <w:color w:val="222A33"/>
          <w:sz w:val="21"/>
          <w:szCs w:val="21"/>
        </w:rPr>
        <w:t xml:space="preserve">项目内置《中药基础知识（详解版）》：</w:t>
      </w:r>
      <w:r>
        <w:rPr>
          <w:rFonts w:ascii="Times New Roman" w:eastAsia="宋体" w:hAnsi="Times New Roman"/>
          <w:b w:val="false"/>
          <w:bCs w:val="false"/>
          <w:color w:val="222A33"/>
          <w:sz w:val="21"/>
          <w:szCs w:val="21"/>
        </w:rPr>
        <w:t xml:space="preserve"> “用药禁忌”章节的十九畏、妊娠禁忌、证候禁忌、饮食禁忌；“剂量与用法”章节的剂量、特殊煎法和服药方法。</w:t>
      </w:r>
    </w:p>
    <w:p>
      <w:pPr>
        <w:spacing w:after="120" w:before="0" w:line="360"/>
        <w:ind w:firstLine="420"/>
        <w:jc w:val="both"/>
      </w:pPr>
      <w:r>
        <w:rPr>
          <w:rFonts w:ascii="Times New Roman" w:eastAsia="宋体" w:hAnsi="Times New Roman"/>
          <w:b w:val="false"/>
          <w:bCs w:val="false"/>
          <w:color w:val="222A33"/>
          <w:sz w:val="21"/>
          <w:szCs w:val="21"/>
        </w:rPr>
        <w:t xml:space="preserve">&gt; 说明：十九畏的现代循证证据有限，本样例采用“传统禁忌 + 高风险审慎管理”的保守原则；实际处理应结合患者具体情况、机构制度和现行法规。</w:t>
      </w:r>
    </w:p>
    <w:p>
      <w:pPr>
        <w:pStyle w:val="Heading1"/>
        <w:keepNext/>
        <w:pageBreakBefore/>
        <w:pBdr>
          <w:bottom w:val="single" w:color="B7CCE3" w:sz="8" w:space="4"/>
        </w:pBdr>
      </w:pPr>
      <w:bookmarkStart w:name="_Toc27" w:id="27"/>
      <w:r>
        <w:rPr>
          <w:rFonts w:ascii="Arial" w:eastAsia="黑体" w:hAnsi="Arial"/>
          <w:b/>
          <w:bCs/>
          <w:color w:val="1F3A5F"/>
          <w:sz w:val="36"/>
          <w:szCs w:val="36"/>
        </w:rPr>
        <w:t xml:space="preserve">七、可直接粘贴的处方文本</w:t>
      </w:r>
      <w:bookmarkEnd w:id="27"/>
    </w:p>
    <w:tbl>
      <w:tblPr>
        <w:tblW w:type="dxa" w:w="9184"/>
        <w:jc w:val="center"/>
        <w:tblBorders>
          <w:top w:val="none" w:color="auto" w:sz="0"/>
          <w:left w:val="single" w:color="9DB7D5" w:sz="18"/>
          <w:bottom w:val="none" w:color="auto" w:sz="0"/>
          <w:right w:val="none" w:color="auto" w:sz="0"/>
          <w:insideH w:val="none" w:color="auto" w:sz="0"/>
          <w:insideV w:val="none" w:color="auto" w:sz="0"/>
        </w:tblBorders>
        <w:tblLayout w:type="fixed"/>
        <w:tblCellMar>
          <w:top w:type="dxa" w:w="120"/>
          <w:left w:type="dxa" w:w="180"/>
          <w:bottom w:type="dxa" w:w="120"/>
          <w:right w:type="dxa" w:w="180"/>
        </w:tblCellMar>
      </w:tblPr>
      <w:tblGrid>
        <w:gridCol w:w="9184"/>
      </w:tblGrid>
      <w:tr>
        <w:trPr>
          <w:cantSplit/>
        </w:trPr>
        <w:tc>
          <w:tcPr>
            <w:tcW w:type="dxa" w:w="9184"/>
            <w:shd w:fill="F5F8FC" w:color="auto" w:val="clear"/>
          </w:tcPr>
          <w:p>
            <w:pPr>
              <w:spacing w:after="0" w:before="0" w:line="300"/>
            </w:pPr>
            <w:r>
              <w:rPr>
                <w:rFonts w:ascii="Consolas" w:eastAsia="宋体" w:hAnsi="Consolas"/>
                <w:color w:val="1F2937"/>
                <w:sz w:val="18"/>
                <w:szCs w:val="18"/>
              </w:rPr>
              <w:t xml:space="preserve">患者：周某某（化名），男，62岁。诊断：胃脘痛（气虚血瘀、寒凝气滞证）。</w:t>
            </w:r>
          </w:p>
          <w:p>
            <w:pPr>
              <w:spacing w:after="0" w:before="0" w:line="300"/>
            </w:pPr>
            <w:r>
              <w:rPr>
                <w:rFonts w:ascii="Consolas" w:eastAsia="宋体" w:hAnsi="Consolas"/>
                <w:color w:val="1F2937"/>
                <w:sz w:val="18"/>
                <w:szCs w:val="18"/>
              </w:rPr>
              <w:t xml:space="preserve">处方：人参9g，五灵脂10g，麸炒白术12g，茯苓15g，陈皮9g，法半夏9g，醋炙延胡索10g，制吴茱萸10g，炙甘草6g，生姜3片。5剂，水煎服，每日1剂，分2次温服。</w:t>
            </w:r>
          </w:p>
        </w:tc>
      </w:tr>
    </w:tbl>
    <w:p>
      <w:pPr>
        <w:spacing w:after="0" w:before="0" w:line="80"/>
      </w:pPr>
    </w:p>
    <w:p>
      <w:pPr>
        <w:pStyle w:val="Heading1"/>
        <w:keepNext/>
        <w:pageBreakBefore/>
        <w:pBdr>
          <w:bottom w:val="single" w:color="B7CCE3" w:sz="8" w:space="4"/>
        </w:pBdr>
      </w:pPr>
      <w:bookmarkStart w:name="_Toc28" w:id="28"/>
      <w:r>
        <w:rPr>
          <w:rFonts w:ascii="Arial" w:eastAsia="黑体" w:hAnsi="Arial"/>
          <w:b/>
          <w:bCs/>
          <w:color w:val="1F3A5F"/>
          <w:sz w:val="36"/>
          <w:szCs w:val="36"/>
        </w:rPr>
        <w:t xml:space="preserve">八、脱敏与使用说明</w:t>
      </w:r>
      <w:bookmarkEnd w:id="28"/>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患者姓名、门诊号、医师和药师姓名、日期均为虚构或示例，不含真实个人健康信息。</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本样例仅用于处方审核流程演示、教学或系统测试，不构成诊疗建议，不得据此调配或服用。</w:t>
      </w:r>
    </w:p>
    <w:p>
      <w:pPr>
        <w:pStyle w:val="ListParagraph"/>
        <w:numPr>
          <w:ilvl w:val="0"/>
          <w:numId w:val="2"/>
        </w:numPr>
        <w:spacing w:after="60" w:before="0" w:line="336"/>
      </w:pPr>
      <w:r>
        <w:rPr>
          <w:rFonts w:ascii="Times New Roman" w:eastAsia="宋体" w:hAnsi="Times New Roman"/>
          <w:b w:val="false"/>
          <w:bCs w:val="false"/>
          <w:color w:val="222A33"/>
          <w:sz w:val="21"/>
          <w:szCs w:val="21"/>
        </w:rPr>
        <w:t xml:space="preserve">实际处方审核应由执业药师依据患者具体情况、现行法规、药典及医疗机构制度完成。</w:t>
      </w:r>
    </w:p>
    <w:sectPr>
      <w:headerReference w:type="default" r:id="rId6"/>
      <w:headerReference w:type="first" r:id="rId7"/>
      <w:footerReference w:type="default" r:id="rId8"/>
      <w:footerReference w:type="first" r:id="rId9"/>
      <w:pgSz w:w="11906" w:h="16838" w:orient="portrait"/>
      <w:pgMar w:top="1247" w:right="1361" w:bottom="1247" w:left="1361" w:header="680" w:footer="68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宋体" w:hAnsi="Times New Roman"/>
        <w:b w:val="false"/>
        <w:bCs w:val="false"/>
        <w:color w:val="7A8FA6"/>
        <w:sz w:val="17"/>
        <w:szCs w:val="17"/>
      </w:rPr>
      <w:t xml:space="preserve">第 </w:t>
    </w:r>
    <w:r>
      <w:rPr>
        <w:rFonts w:ascii="Times New Roman" w:eastAsia="宋体" w:hAnsi="Times New Roman"/>
        <w:color w:val="7A8FA6"/>
        <w:sz w:val="17"/>
        <w:szCs w:val="17"/>
      </w:rPr>
      <w:fldChar w:fldCharType="begin"/>
    </w:r>
    <w:r>
      <w:rPr>
        <w:rFonts w:ascii="Times New Roman" w:eastAsia="宋体" w:hAnsi="Times New Roman"/>
        <w:color w:val="7A8FA6"/>
        <w:sz w:val="17"/>
        <w:szCs w:val="17"/>
      </w:rPr>
      <w:instrText xml:space="preserve">PAGE</w:instrText>
    </w:r>
    <w:r>
      <w:rPr>
        <w:rFonts w:ascii="Times New Roman" w:eastAsia="宋体" w:hAnsi="Times New Roman"/>
        <w:color w:val="7A8FA6"/>
        <w:sz w:val="17"/>
        <w:szCs w:val="17"/>
      </w:rPr>
      <w:fldChar w:fldCharType="separate"/>
    </w:r>
    <w:r>
      <w:rPr>
        <w:rFonts w:ascii="Times New Roman" w:eastAsia="宋体" w:hAnsi="Times New Roman"/>
        <w:color w:val="7A8FA6"/>
        <w:sz w:val="17"/>
        <w:szCs w:val="17"/>
      </w:rPr>
      <w:fldChar w:fldCharType="end"/>
    </w:r>
    <w:r>
      <w:rPr>
        <w:rFonts w:ascii="Times New Roman" w:eastAsia="宋体" w:hAnsi="Times New Roman"/>
        <w:b w:val="false"/>
        <w:bCs w:val="false"/>
        <w:color w:val="7A8FA6"/>
        <w:sz w:val="17"/>
        <w:szCs w:val="17"/>
      </w:rPr>
      <w:t xml:space="preserve"> 页 / 共 </w:t>
    </w:r>
    <w:r>
      <w:rPr>
        <w:rFonts w:ascii="Times New Roman" w:eastAsia="宋体" w:hAnsi="Times New Roman"/>
        <w:color w:val="7A8FA6"/>
        <w:sz w:val="17"/>
        <w:szCs w:val="17"/>
      </w:rPr>
      <w:fldChar w:fldCharType="begin"/>
    </w:r>
    <w:r>
      <w:rPr>
        <w:rFonts w:ascii="Times New Roman" w:eastAsia="宋体" w:hAnsi="Times New Roman"/>
        <w:color w:val="7A8FA6"/>
        <w:sz w:val="17"/>
        <w:szCs w:val="17"/>
      </w:rPr>
      <w:instrText xml:space="preserve">NUMPAGES</w:instrText>
    </w:r>
    <w:r>
      <w:rPr>
        <w:rFonts w:ascii="Times New Roman" w:eastAsia="宋体" w:hAnsi="Times New Roman"/>
        <w:color w:val="7A8FA6"/>
        <w:sz w:val="17"/>
        <w:szCs w:val="17"/>
      </w:rPr>
      <w:fldChar w:fldCharType="separate"/>
    </w:r>
    <w:r>
      <w:rPr>
        <w:rFonts w:ascii="Times New Roman" w:eastAsia="宋体" w:hAnsi="Times New Roman"/>
        <w:color w:val="7A8FA6"/>
        <w:sz w:val="17"/>
        <w:szCs w:val="17"/>
      </w:rPr>
      <w:fldChar w:fldCharType="end"/>
    </w:r>
    <w:r>
      <w:rPr>
        <w:rFonts w:ascii="Times New Roman" w:eastAsia="宋体" w:hAnsi="Times New Roman"/>
        <w:b w:val="false"/>
        <w:bCs w:val="false"/>
        <w:color w:val="7A8FA6"/>
        <w:sz w:val="17"/>
        <w:szCs w:val="17"/>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3F0" w:sz="4" w:space="2"/>
      </w:pBdr>
      <w:tabs>
        <w:tab w:val="right" w:pos="9184"/>
      </w:tabs>
      <w:spacing w:after="0" w:before="0" w:line="240"/>
    </w:pPr>
    <w:r>
      <w:rPr>
        <w:rFonts w:ascii="Times New Roman" w:eastAsia="宋体" w:hAnsi="Times New Roman"/>
        <w:b w:val="false"/>
        <w:bCs w:val="false"/>
        <w:color w:val="7A8FA6"/>
        <w:sz w:val="17"/>
        <w:szCs w:val="17"/>
      </w:rPr>
      <w:t xml:space="preserve">中药饮片处方审核样例（不通过）</w:t>
    </w:r>
    <w:r>
      <w:tab/>
    </w:r>
    <w:r>
      <w:rPr>
        <w:rFonts w:ascii="Times New Roman" w:eastAsia="宋体" w:hAnsi="Times New Roman"/>
        <w:b w:val="false"/>
        <w:bCs w:val="false"/>
        <w:color w:val="7A8FA6"/>
        <w:sz w:val="17"/>
        <w:szCs w:val="17"/>
      </w:rPr>
      <w:t xml:space="preserve">本草知问 · DEMO-RX-2026-002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1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20" w:hanging="420"/>
      </w:pPr>
      <w:rPr>
        <w:rFonts w:ascii="Times New Roman" w:eastAsia="宋体"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222A33"/>
        <w:sz w:val="21"/>
        <w:szCs w:val="21"/>
      </w:rPr>
    </w:rPrDefault>
    <w:pPrDefault>
      <w:pPr>
        <w:spacing w:after="12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360" w:line="276"/>
    </w:pPr>
    <w:rPr>
      <w:rFonts w:ascii="Arial" w:eastAsia="黑体" w:hAnsi="Arial"/>
      <w:b/>
      <w:bCs/>
      <w:color w:val="1F3A5F"/>
      <w:sz w:val="36"/>
      <w:szCs w:val="36"/>
    </w:rPr>
  </w:style>
  <w:style w:type="paragraph" w:styleId="Heading2">
    <w:name w:val="Heading 2"/>
    <w:basedOn w:val="Normal"/>
    <w:next w:val="Normal"/>
    <w:qFormat/>
    <w:pPr>
      <w:keepNext/>
      <w:spacing w:after="120" w:before="280" w:line="276"/>
    </w:pPr>
    <w:rPr>
      <w:rFonts w:ascii="Arial" w:eastAsia="黑体" w:hAnsi="Arial"/>
      <w:b/>
      <w:bCs/>
      <w:color w:val="2E5C8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OC1">
    <w:name w:val="TOC 1"/>
    <w:basedOn w:val="Normal"/>
    <w:next w:val="Normal"/>
    <w:qFormat/>
    <w:pPr>
      <w:spacing w:after="60" w:before="80" w:line="288"/>
    </w:pPr>
    <w:rPr>
      <w:rFonts w:ascii="Times New Roman" w:eastAsia="宋体" w:hAnsi="Times New Roman"/>
      <w:b/>
      <w:bCs/>
      <w:color w:val="222A33"/>
      <w:sz w:val="21"/>
      <w:szCs w:val="21"/>
    </w:rPr>
  </w:style>
  <w:style w:type="paragraph" w:styleId="TOC2">
    <w:name w:val="TOC 2"/>
    <w:basedOn w:val="Normal"/>
    <w:next w:val="Normal"/>
    <w:qFormat/>
    <w:pPr>
      <w:spacing w:after="60" w:before="0" w:line="280"/>
      <w:ind w:left="420"/>
    </w:pPr>
    <w:rPr>
      <w:rFonts w:ascii="Times New Roman" w:eastAsia="宋体" w:hAnsi="Times New Roman"/>
      <w:color w:val="222A33"/>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中药饮片处方审核样例（不通过 · 脱敏）</dc:title>
  <dc:subject>处方审核流程演示样例</dc:subject>
  <dc:creator>本草知问</dc:creator>
  <cp:keywords>中药; 处方审核; 十九畏; 脱敏样例</cp:keywords>
  <dc:description>含十九畏、吴茱萸超量及煎法缺失的脱敏处方审核样例</dc:description>
  <cp:lastModifiedBy>Un-named</cp:lastModifiedBy>
  <cp:revision>1</cp:revision>
  <dcterms:created xsi:type="dcterms:W3CDTF">2026-10-28T11:48:21.301Z</dcterms:created>
  <dcterms:modified xsi:type="dcterms:W3CDTF">2026-10-28T11:48:21.308Z</dcterms:modified>
</cp:coreProperties>
</file>

<file path=docProps/custom.xml><?xml version="1.0" encoding="utf-8"?>
<Properties xmlns="http://schemas.openxmlformats.org/officeDocument/2006/custom-properties" xmlns:vt="http://schemas.openxmlformats.org/officeDocument/2006/docPropsVTypes"/>
</file>