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06A53">
      <w:pPr>
        <w:spacing w:after="156" w:afterLines="50"/>
        <w:jc w:val="center"/>
        <w:rPr>
          <w:rFonts w:cs="宋体"/>
          <w:b/>
          <w:bCs/>
          <w:kern w:val="0"/>
          <w:sz w:val="30"/>
          <w:szCs w:val="30"/>
        </w:rPr>
      </w:pPr>
      <w:r>
        <w:rPr>
          <w:rFonts w:hint="eastAsia" w:cs="宋体"/>
          <w:b/>
          <w:bCs/>
          <w:kern w:val="0"/>
          <w:sz w:val="30"/>
          <w:szCs w:val="30"/>
        </w:rPr>
        <w:t>教育培训学院（继续教育学院）</w:t>
      </w:r>
    </w:p>
    <w:p w14:paraId="77D1FECF">
      <w:pPr>
        <w:jc w:val="center"/>
        <w:rPr>
          <w:rFonts w:hint="eastAsia" w:ascii="华文行楷" w:eastAsia="华文行楷" w:cs="宋体"/>
          <w:b/>
          <w:bCs/>
          <w:kern w:val="0"/>
          <w:sz w:val="30"/>
          <w:szCs w:val="30"/>
        </w:rPr>
      </w:pPr>
      <w:r>
        <w:rPr>
          <w:rFonts w:hint="eastAsia" w:cs="宋体"/>
          <w:b/>
          <w:bCs/>
          <w:kern w:val="0"/>
          <w:sz w:val="30"/>
          <w:szCs w:val="30"/>
        </w:rPr>
        <w:t>毕</w:t>
      </w:r>
      <w:r>
        <w:rPr>
          <w:rFonts w:cs="宋体"/>
          <w:b/>
          <w:bCs/>
          <w:kern w:val="0"/>
          <w:sz w:val="30"/>
          <w:szCs w:val="30"/>
        </w:rPr>
        <w:t xml:space="preserve"> </w:t>
      </w:r>
      <w:r>
        <w:rPr>
          <w:rFonts w:hint="eastAsia" w:cs="宋体"/>
          <w:b/>
          <w:bCs/>
          <w:kern w:val="0"/>
          <w:sz w:val="30"/>
          <w:szCs w:val="30"/>
        </w:rPr>
        <w:t>业 论 文（设计）开</w:t>
      </w:r>
      <w:r>
        <w:rPr>
          <w:rFonts w:cs="宋体"/>
          <w:b/>
          <w:bCs/>
          <w:kern w:val="0"/>
          <w:sz w:val="30"/>
          <w:szCs w:val="30"/>
        </w:rPr>
        <w:t xml:space="preserve"> </w:t>
      </w:r>
      <w:r>
        <w:rPr>
          <w:rFonts w:hint="eastAsia" w:cs="宋体"/>
          <w:b/>
          <w:bCs/>
          <w:kern w:val="0"/>
          <w:sz w:val="30"/>
          <w:szCs w:val="30"/>
        </w:rPr>
        <w:t>题</w:t>
      </w:r>
      <w:r>
        <w:rPr>
          <w:rFonts w:cs="宋体"/>
          <w:b/>
          <w:bCs/>
          <w:kern w:val="0"/>
          <w:sz w:val="30"/>
          <w:szCs w:val="30"/>
        </w:rPr>
        <w:t xml:space="preserve"> </w:t>
      </w:r>
      <w:r>
        <w:rPr>
          <w:rFonts w:hint="eastAsia" w:cs="宋体"/>
          <w:b/>
          <w:bCs/>
          <w:kern w:val="0"/>
          <w:sz w:val="30"/>
          <w:szCs w:val="30"/>
        </w:rPr>
        <w:t>报</w:t>
      </w:r>
      <w:r>
        <w:rPr>
          <w:rFonts w:cs="宋体"/>
          <w:b/>
          <w:bCs/>
          <w:kern w:val="0"/>
          <w:sz w:val="30"/>
          <w:szCs w:val="30"/>
        </w:rPr>
        <w:t xml:space="preserve"> </w:t>
      </w:r>
      <w:r>
        <w:rPr>
          <w:rFonts w:hint="eastAsia" w:cs="宋体"/>
          <w:b/>
          <w:bCs/>
          <w:kern w:val="0"/>
          <w:sz w:val="30"/>
          <w:szCs w:val="30"/>
        </w:rPr>
        <w:t>告</w:t>
      </w:r>
      <w:r>
        <w:rPr>
          <w:rFonts w:hint="eastAsia" w:cs="宋体"/>
          <w:b/>
          <w:bCs/>
          <w:vanish/>
          <w:kern w:val="0"/>
          <w:sz w:val="30"/>
          <w:szCs w:val="30"/>
        </w:rPr>
        <w:t>{{beginReport}}</w:t>
      </w:r>
    </w:p>
    <w:tbl>
      <w:tblPr>
        <w:tblStyle w:val="4"/>
        <w:tblpPr w:leftFromText="180" w:rightFromText="180" w:vertAnchor="text" w:tblpXSpec="center" w:tblpY="1"/>
        <w:tblOverlap w:val="never"/>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620"/>
        <w:gridCol w:w="1260"/>
        <w:gridCol w:w="4860"/>
      </w:tblGrid>
      <w:tr w14:paraId="25C7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0" w:type="dxa"/>
            <w:vAlign w:val="center"/>
          </w:tcPr>
          <w:p w14:paraId="50CF8FCA">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题     目</w:t>
            </w:r>
          </w:p>
        </w:tc>
        <w:tc>
          <w:tcPr>
            <w:tcW w:w="7740" w:type="dxa"/>
            <w:gridSpan w:val="3"/>
          </w:tcPr>
          <w:p w14:paraId="5F86C389">
            <w:pPr>
              <w:keepNext w:val="0"/>
              <w:keepLines w:val="0"/>
              <w:suppressLineNumbers w:val="0"/>
              <w:spacing w:before="0" w:beforeAutospacing="0" w:after="0" w:afterAutospacing="0" w:line="480" w:lineRule="auto"/>
              <w:ind w:left="180" w:right="0" w:firstLine="720" w:firstLineChars="300"/>
              <w:jc w:val="center"/>
              <w:rPr>
                <w:rFonts w:hint="default" w:ascii="宋体" w:hAnsi="宋体" w:cs="宋体"/>
                <w:b/>
                <w:kern w:val="0"/>
                <w:szCs w:val="21"/>
              </w:rPr>
            </w:pPr>
            <w:r>
              <w:rPr>
                <w:rFonts w:ascii="宋体" w:hAnsi="宋体" w:eastAsia="宋体" w:cs="宋体"/>
                <w:sz w:val="24"/>
                <w:szCs w:val="24"/>
              </w:rPr>
              <w:t>基于</w:t>
            </w:r>
            <w:r>
              <w:rPr>
                <w:rFonts w:hint="default" w:ascii="Times New Roman" w:hAnsi="Times New Roman" w:eastAsia="宋体" w:cs="Times New Roman"/>
                <w:sz w:val="24"/>
                <w:szCs w:val="24"/>
              </w:rPr>
              <w:t>Spring</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rPr>
              <w:t>Boot</w:t>
            </w:r>
            <w:r>
              <w:rPr>
                <w:rFonts w:ascii="宋体" w:hAnsi="宋体" w:eastAsia="宋体" w:cs="宋体"/>
                <w:sz w:val="24"/>
                <w:szCs w:val="24"/>
              </w:rPr>
              <w:t>的教务管理系统设计与实现</w:t>
            </w:r>
          </w:p>
        </w:tc>
      </w:tr>
      <w:tr w14:paraId="17FA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0" w:type="dxa"/>
            <w:vAlign w:val="center"/>
          </w:tcPr>
          <w:p w14:paraId="70612A25">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学生姓名</w:t>
            </w:r>
          </w:p>
        </w:tc>
        <w:tc>
          <w:tcPr>
            <w:tcW w:w="1620" w:type="dxa"/>
          </w:tcPr>
          <w:p w14:paraId="6355D357">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c>
          <w:tcPr>
            <w:tcW w:w="1260" w:type="dxa"/>
          </w:tcPr>
          <w:p w14:paraId="5E82BBDD">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专业班级</w:t>
            </w:r>
          </w:p>
        </w:tc>
        <w:tc>
          <w:tcPr>
            <w:tcW w:w="4860" w:type="dxa"/>
            <w:vAlign w:val="center"/>
          </w:tcPr>
          <w:p w14:paraId="5395E9FE">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r>
      <w:tr w14:paraId="57C0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0" w:type="dxa"/>
            <w:vAlign w:val="center"/>
          </w:tcPr>
          <w:p w14:paraId="7D5CB863">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指导</w:t>
            </w:r>
            <w:r>
              <w:rPr>
                <w:rFonts w:hint="default" w:ascii="宋体" w:cs="宋体"/>
                <w:b/>
                <w:kern w:val="0"/>
                <w:szCs w:val="21"/>
              </w:rPr>
              <w:t>教师</w:t>
            </w:r>
          </w:p>
        </w:tc>
        <w:tc>
          <w:tcPr>
            <w:tcW w:w="1620" w:type="dxa"/>
          </w:tcPr>
          <w:p w14:paraId="12C62DE4">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c>
          <w:tcPr>
            <w:tcW w:w="1260" w:type="dxa"/>
          </w:tcPr>
          <w:p w14:paraId="55089A95">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职称</w:t>
            </w:r>
          </w:p>
        </w:tc>
        <w:tc>
          <w:tcPr>
            <w:tcW w:w="4860" w:type="dxa"/>
            <w:vAlign w:val="center"/>
          </w:tcPr>
          <w:p w14:paraId="5998F42C">
            <w:pPr>
              <w:keepNext w:val="0"/>
              <w:keepLines w:val="0"/>
              <w:suppressLineNumbers w:val="0"/>
              <w:spacing w:before="0" w:beforeAutospacing="0" w:after="0" w:afterAutospacing="0" w:line="480" w:lineRule="auto"/>
              <w:ind w:left="180" w:right="0"/>
              <w:jc w:val="center"/>
              <w:rPr>
                <w:rFonts w:hint="eastAsia" w:ascii="宋体" w:hAnsi="宋体" w:cs="宋体"/>
                <w:bCs/>
                <w:kern w:val="0"/>
                <w:szCs w:val="21"/>
              </w:rPr>
            </w:pPr>
          </w:p>
        </w:tc>
      </w:tr>
      <w:tr w14:paraId="5127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7" w:hRule="atLeast"/>
        </w:trPr>
        <w:tc>
          <w:tcPr>
            <w:tcW w:w="1980" w:type="dxa"/>
            <w:vAlign w:val="center"/>
          </w:tcPr>
          <w:p w14:paraId="0075D380">
            <w:pPr>
              <w:keepNext w:val="0"/>
              <w:keepLines w:val="0"/>
              <w:widowControl w:val="0"/>
              <w:suppressLineNumbers w:val="0"/>
              <w:spacing w:before="0" w:beforeAutospacing="1" w:after="0" w:afterAutospacing="1"/>
              <w:ind w:left="180" w:leftChars="0" w:right="0" w:rightChars="0"/>
              <w:jc w:val="center"/>
              <w:rPr>
                <w:rFonts w:hint="default" w:ascii="宋体" w:hAnsi="宋体" w:cs="宋体"/>
                <w:b/>
                <w:kern w:val="0"/>
                <w:szCs w:val="21"/>
              </w:rPr>
            </w:pPr>
            <w:r>
              <w:rPr>
                <w:rFonts w:hint="eastAsia" w:ascii="黑体" w:hAnsi="宋体" w:eastAsia="黑体" w:cs="黑体"/>
                <w:kern w:val="0"/>
                <w:sz w:val="21"/>
                <w:szCs w:val="21"/>
                <w:lang w:val="en-US" w:eastAsia="zh-CN" w:bidi="ar"/>
              </w:rPr>
              <w:t>国内外研究现状</w:t>
            </w:r>
          </w:p>
        </w:tc>
        <w:tc>
          <w:tcPr>
            <w:tcW w:w="7740" w:type="dxa"/>
            <w:gridSpan w:val="3"/>
            <w:vAlign w:val="top"/>
          </w:tcPr>
          <w:p w14:paraId="41D1414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w:t>
            </w:r>
            <w:r>
              <w:rPr>
                <w:rFonts w:hint="eastAsia" w:ascii="宋体" w:hAnsi="宋体" w:cs="宋体"/>
                <w:b w:val="0"/>
                <w:bCs/>
                <w:kern w:val="0"/>
                <w:szCs w:val="21"/>
              </w:rPr>
              <w:t>）随着教育信息化、数字化不断发展，尤其是学分制、选课制的展开与深入，教务日常管理工作呈现出业务链条更长、事项更复杂、协同更频繁的特点，传统人工处理方式在效率与准确性方面面临较大压力，因此开发综合性的教务管理软件具有现实必要性。</w:t>
            </w:r>
          </w:p>
          <w:p w14:paraId="4DB2F82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2</w:t>
            </w:r>
            <w:r>
              <w:rPr>
                <w:rFonts w:hint="eastAsia" w:ascii="宋体" w:hAnsi="宋体" w:cs="宋体"/>
                <w:b w:val="0"/>
                <w:bCs/>
                <w:kern w:val="0"/>
                <w:szCs w:val="21"/>
              </w:rPr>
              <w:t>）在数字校园建设背景下，基于</w:t>
            </w:r>
            <w:r>
              <w:rPr>
                <w:rFonts w:hint="default" w:ascii="Times New Roman" w:hAnsi="Times New Roman" w:cs="Times New Roman"/>
                <w:b w:val="0"/>
                <w:bCs/>
                <w:kern w:val="0"/>
                <w:szCs w:val="21"/>
              </w:rPr>
              <w:t>Web</w:t>
            </w:r>
            <w:r>
              <w:rPr>
                <w:rFonts w:hint="eastAsia" w:ascii="宋体" w:hAnsi="宋体" w:cs="宋体"/>
                <w:b w:val="0"/>
                <w:bCs/>
                <w:kern w:val="0"/>
                <w:szCs w:val="21"/>
              </w:rPr>
              <w:t>的教务管理系统已成为主流方向，其目标通常是实现教务信息集中管理与流程线上化，支持基础信息管理、查询以及课表制定等核心功能，并通过身份验证将不同角色的操作边界进行区分，从而提升管理效率并改善服务体验。</w:t>
            </w:r>
          </w:p>
          <w:p w14:paraId="016ED8E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default" w:ascii="宋体" w:hAnsi="宋体" w:cs="宋体"/>
                <w:b/>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3</w:t>
            </w:r>
            <w:r>
              <w:rPr>
                <w:rFonts w:hint="eastAsia" w:ascii="宋体" w:hAnsi="宋体" w:cs="宋体"/>
                <w:b w:val="0"/>
                <w:bCs/>
                <w:kern w:val="0"/>
                <w:szCs w:val="21"/>
              </w:rPr>
              <w:t>）从现有系统改进诉求看，教务系统在安全性、信息更新、资料共享等方面仍可能存在不足，影响数据治理质量与师生使用体验。因此，面向“安全、稳定、易用”的系统建设目标，进一步强化数据保护、优化流程闭环与提升界面可用性，是教务管理系统设计与实现的重要研究与工程实践方向。</w:t>
            </w:r>
          </w:p>
        </w:tc>
      </w:tr>
      <w:tr w14:paraId="5F32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980" w:type="dxa"/>
            <w:vAlign w:val="center"/>
          </w:tcPr>
          <w:p w14:paraId="5F952CE0">
            <w:pPr>
              <w:keepNext w:val="0"/>
              <w:keepLines w:val="0"/>
              <w:widowControl w:val="0"/>
              <w:suppressLineNumbers w:val="0"/>
              <w:spacing w:before="0" w:beforeAutospacing="1" w:after="0" w:afterAutospacing="1"/>
              <w:ind w:left="180" w:leftChars="0" w:right="0" w:rightChars="0"/>
              <w:jc w:val="center"/>
              <w:rPr>
                <w:rFonts w:hint="default" w:ascii="宋体" w:hAnsi="宋体" w:cs="宋体"/>
                <w:color w:val="1E1F24"/>
                <w:sz w:val="19"/>
                <w:szCs w:val="19"/>
                <w:shd w:val="clear" w:color="auto" w:fill="FFFFFF"/>
              </w:rPr>
            </w:pPr>
            <w:r>
              <w:rPr>
                <w:rFonts w:hint="eastAsia" w:ascii="黑体" w:hAnsi="宋体" w:eastAsia="黑体" w:cs="黑体"/>
                <w:kern w:val="0"/>
                <w:sz w:val="21"/>
                <w:szCs w:val="21"/>
                <w:lang w:val="en-US" w:eastAsia="zh-CN" w:bidi="ar"/>
              </w:rPr>
              <w:t>设计思想及准备</w:t>
            </w:r>
          </w:p>
        </w:tc>
        <w:tc>
          <w:tcPr>
            <w:tcW w:w="7740" w:type="dxa"/>
            <w:gridSpan w:val="3"/>
            <w:vAlign w:val="top"/>
          </w:tcPr>
          <w:p w14:paraId="2DAFA94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w:t>
            </w:r>
            <w:r>
              <w:rPr>
                <w:rFonts w:hint="eastAsia" w:ascii="宋体" w:hAnsi="宋体" w:cs="宋体"/>
                <w:b w:val="0"/>
                <w:bCs/>
                <w:kern w:val="0"/>
                <w:szCs w:val="21"/>
              </w:rPr>
              <w:t>）本课题采用前后端分离的</w:t>
            </w:r>
            <w:r>
              <w:rPr>
                <w:rFonts w:hint="default" w:ascii="Times New Roman" w:hAnsi="Times New Roman" w:cs="Times New Roman"/>
                <w:b w:val="0"/>
                <w:bCs/>
                <w:kern w:val="0"/>
                <w:szCs w:val="21"/>
              </w:rPr>
              <w:t>Web</w:t>
            </w:r>
            <w:r>
              <w:rPr>
                <w:rFonts w:hint="eastAsia" w:ascii="宋体" w:hAnsi="宋体" w:cs="宋体"/>
                <w:b w:val="0"/>
                <w:bCs/>
                <w:kern w:val="0"/>
                <w:szCs w:val="21"/>
              </w:rPr>
              <w:t>应用形态实现，后端以</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为基础框架，使用</w:t>
            </w:r>
            <w:r>
              <w:rPr>
                <w:rFonts w:hint="default" w:ascii="Times New Roman" w:hAnsi="Times New Roman" w:cs="Times New Roman"/>
                <w:b w:val="0"/>
                <w:bCs/>
                <w:kern w:val="0"/>
                <w:szCs w:val="21"/>
              </w:rPr>
              <w:t>Maven</w:t>
            </w:r>
            <w:r>
              <w:rPr>
                <w:rFonts w:hint="eastAsia" w:ascii="宋体" w:hAnsi="宋体" w:cs="宋体"/>
                <w:b w:val="0"/>
                <w:bCs/>
                <w:kern w:val="0"/>
                <w:szCs w:val="21"/>
              </w:rPr>
              <w:t>进行项目构建与依赖管理，数据库选用</w:t>
            </w:r>
            <w:r>
              <w:rPr>
                <w:rFonts w:hint="default" w:ascii="Times New Roman" w:hAnsi="Times New Roman" w:cs="Times New Roman"/>
                <w:b w:val="0"/>
                <w:bCs/>
                <w:kern w:val="0"/>
                <w:szCs w:val="21"/>
              </w:rPr>
              <w:t>MySQL8</w:t>
            </w:r>
            <w:r>
              <w:rPr>
                <w:rFonts w:hint="eastAsia" w:ascii="宋体" w:hAnsi="宋体" w:cs="宋体"/>
                <w:b w:val="0"/>
                <w:bCs/>
                <w:kern w:val="0"/>
                <w:szCs w:val="21"/>
              </w:rPr>
              <w:t>.</w:t>
            </w:r>
            <w:r>
              <w:rPr>
                <w:rFonts w:hint="default" w:ascii="Times New Roman" w:hAnsi="Times New Roman" w:cs="Times New Roman"/>
                <w:b w:val="0"/>
                <w:bCs/>
                <w:kern w:val="0"/>
                <w:szCs w:val="21"/>
              </w:rPr>
              <w:t>0</w:t>
            </w:r>
            <w:r>
              <w:rPr>
                <w:rFonts w:hint="eastAsia" w:ascii="宋体" w:hAnsi="宋体" w:cs="宋体"/>
                <w:b w:val="0"/>
                <w:bCs/>
                <w:kern w:val="0"/>
                <w:szCs w:val="21"/>
              </w:rPr>
              <w:t>完成业务数据持久化；系统可配合</w:t>
            </w:r>
            <w:r>
              <w:rPr>
                <w:rFonts w:hint="default" w:ascii="Times New Roman" w:hAnsi="Times New Roman" w:cs="Times New Roman"/>
                <w:b w:val="0"/>
                <w:bCs/>
                <w:kern w:val="0"/>
                <w:szCs w:val="21"/>
              </w:rPr>
              <w:t>Tomcat</w:t>
            </w:r>
            <w:r>
              <w:rPr>
                <w:rFonts w:hint="eastAsia" w:ascii="宋体" w:hAnsi="宋体" w:cs="宋体"/>
                <w:b w:val="0"/>
                <w:bCs/>
                <w:kern w:val="0"/>
                <w:szCs w:val="21"/>
              </w:rPr>
              <w:t>、</w:t>
            </w:r>
            <w:r>
              <w:rPr>
                <w:rFonts w:hint="default" w:ascii="Times New Roman" w:hAnsi="Times New Roman" w:cs="Times New Roman"/>
                <w:b w:val="0"/>
                <w:bCs/>
                <w:kern w:val="0"/>
                <w:szCs w:val="21"/>
              </w:rPr>
              <w:t>Jetty</w:t>
            </w:r>
            <w:r>
              <w:rPr>
                <w:rFonts w:hint="eastAsia" w:ascii="宋体" w:hAnsi="宋体" w:cs="宋体"/>
                <w:b w:val="0"/>
                <w:bCs/>
                <w:kern w:val="0"/>
                <w:szCs w:val="21"/>
              </w:rPr>
              <w:t>等容器进行项目生命周期管理与部署运行。</w:t>
            </w:r>
          </w:p>
          <w:p w14:paraId="6D1466B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2</w:t>
            </w:r>
            <w:r>
              <w:rPr>
                <w:rFonts w:hint="eastAsia" w:ascii="宋体" w:hAnsi="宋体" w:cs="宋体"/>
                <w:b w:val="0"/>
                <w:bCs/>
                <w:kern w:val="0"/>
                <w:szCs w:val="21"/>
              </w:rPr>
              <w:t>）前端采用</w:t>
            </w:r>
            <w:r>
              <w:rPr>
                <w:rFonts w:hint="default" w:ascii="Times New Roman" w:hAnsi="Times New Roman" w:cs="Times New Roman"/>
                <w:b w:val="0"/>
                <w:bCs/>
                <w:kern w:val="0"/>
                <w:szCs w:val="21"/>
              </w:rPr>
              <w:t>Vue</w:t>
            </w:r>
            <w:r>
              <w:rPr>
                <w:rFonts w:hint="eastAsia" w:ascii="宋体" w:hAnsi="宋体" w:cs="宋体"/>
                <w:b w:val="0"/>
                <w:bCs/>
                <w:kern w:val="0"/>
                <w:szCs w:val="21"/>
              </w:rPr>
              <w:t>实现交互界面与数据驱动的页面更新机制，并通过</w:t>
            </w:r>
            <w:r>
              <w:rPr>
                <w:rFonts w:hint="default" w:ascii="Times New Roman" w:hAnsi="Times New Roman" w:cs="Times New Roman"/>
                <w:b w:val="0"/>
                <w:bCs/>
                <w:kern w:val="0"/>
                <w:szCs w:val="21"/>
              </w:rPr>
              <w:t>Axios</w:t>
            </w:r>
            <w:r>
              <w:rPr>
                <w:rFonts w:hint="eastAsia" w:ascii="宋体" w:hAnsi="宋体" w:cs="宋体"/>
                <w:b w:val="0"/>
                <w:bCs/>
                <w:kern w:val="0"/>
                <w:szCs w:val="21"/>
              </w:rPr>
              <w:t>与后端接口进行数据交互，实现“前端页面—后端服务—数据库”的协同工作模式，从而支撑系统在基础信息管理、查询、课表制定等功能上的稳定运行与后续扩展。</w:t>
            </w:r>
          </w:p>
          <w:p w14:paraId="4691FB8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default" w:ascii="宋体" w:hAnsi="宋体" w:cs="宋体"/>
                <w:b w:val="0"/>
                <w:bCs w:val="0"/>
                <w:color w:val="1E1F24"/>
                <w:sz w:val="19"/>
                <w:szCs w:val="19"/>
                <w:shd w:val="clear" w:color="auto" w:fill="FFFFFF"/>
              </w:rPr>
            </w:pPr>
            <w:r>
              <w:rPr>
                <w:rFonts w:hint="eastAsia" w:ascii="宋体" w:hAnsi="宋体" w:cs="宋体"/>
                <w:b w:val="0"/>
                <w:bCs/>
                <w:kern w:val="0"/>
                <w:szCs w:val="21"/>
              </w:rPr>
              <w:t>（</w:t>
            </w:r>
            <w:r>
              <w:rPr>
                <w:rFonts w:hint="default" w:ascii="Times New Roman" w:hAnsi="Times New Roman" w:cs="Times New Roman"/>
                <w:b w:val="0"/>
                <w:bCs/>
                <w:kern w:val="0"/>
                <w:szCs w:val="21"/>
              </w:rPr>
              <w:t>3</w:t>
            </w:r>
            <w:r>
              <w:rPr>
                <w:rFonts w:hint="eastAsia" w:ascii="宋体" w:hAnsi="宋体" w:cs="宋体"/>
                <w:b w:val="0"/>
                <w:bCs/>
                <w:kern w:val="0"/>
                <w:szCs w:val="21"/>
              </w:rPr>
              <w:t>）系统设计遵循模块化思想与分层组织方式，围绕管理员端与教师端两类角色进行业务拆分与权限边界划分，保证不同用户能够高效、准确完成各自任务；在准备工作上，将先完成需求调研与业务梳理，继而开展数据结构与模块划分设计，并同步关注系统界面简洁性与安全防护性要求，确保教学数据安全与隐私。</w:t>
            </w:r>
          </w:p>
        </w:tc>
      </w:tr>
      <w:tr w14:paraId="1F02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0" w:type="dxa"/>
            <w:vAlign w:val="center"/>
          </w:tcPr>
          <w:p w14:paraId="6A7E3639">
            <w:pPr>
              <w:keepNext w:val="0"/>
              <w:keepLines w:val="0"/>
              <w:widowControl w:val="0"/>
              <w:suppressLineNumbers w:val="0"/>
              <w:spacing w:before="0" w:beforeAutospacing="1" w:after="0" w:afterAutospacing="1"/>
              <w:ind w:left="0" w:leftChars="0" w:right="0" w:rightChars="0"/>
              <w:jc w:val="both"/>
              <w:rPr>
                <w:rFonts w:hint="default" w:ascii="宋体" w:hAnsi="宋体" w:cs="宋体"/>
                <w:b/>
                <w:kern w:val="0"/>
                <w:szCs w:val="21"/>
              </w:rPr>
            </w:pPr>
            <w:r>
              <w:rPr>
                <w:rFonts w:hint="eastAsia" w:ascii="黑体" w:hAnsi="宋体" w:eastAsia="黑体" w:cs="黑体"/>
                <w:kern w:val="0"/>
                <w:sz w:val="21"/>
                <w:szCs w:val="21"/>
                <w:lang w:val="en-US" w:eastAsia="zh-CN" w:bidi="ar"/>
              </w:rPr>
              <w:t>拟解决的主要问题</w:t>
            </w:r>
          </w:p>
        </w:tc>
        <w:tc>
          <w:tcPr>
            <w:tcW w:w="7740" w:type="dxa"/>
            <w:gridSpan w:val="3"/>
            <w:vAlign w:val="top"/>
          </w:tcPr>
          <w:p w14:paraId="2F23BEE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w:t>
            </w:r>
            <w:r>
              <w:rPr>
                <w:rFonts w:hint="eastAsia" w:ascii="宋体" w:hAnsi="宋体" w:cs="宋体"/>
                <w:b w:val="0"/>
                <w:bCs/>
                <w:kern w:val="0"/>
                <w:szCs w:val="21"/>
              </w:rPr>
              <w:t>）拟解决教务管理工作在学分制、选课制深入背景下面临的“事务繁重、流程复杂、人工效率不足”的问题，通过系统化、模块化方式将教务工作拆分为可操作的功能模块，减轻教务管理人员负担并提升管理效率。</w:t>
            </w:r>
          </w:p>
          <w:p w14:paraId="6CF033E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2</w:t>
            </w:r>
            <w:r>
              <w:rPr>
                <w:rFonts w:hint="eastAsia" w:ascii="宋体" w:hAnsi="宋体" w:cs="宋体"/>
                <w:b w:val="0"/>
                <w:bCs/>
                <w:kern w:val="0"/>
                <w:szCs w:val="21"/>
              </w:rPr>
              <w:t>）拟解决现有教务管理在安全性、信息更新与资料共享等方面可能存在的不足问题，通过构建高效、稳定、易用的教务管理系统，实现教务信息集中管理并强化数据保护能力，为全校信息系统完善提供基础支撑。</w:t>
            </w:r>
          </w:p>
          <w:p w14:paraId="6EEB5F4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3</w:t>
            </w:r>
            <w:r>
              <w:rPr>
                <w:rFonts w:hint="eastAsia" w:ascii="宋体" w:hAnsi="宋体" w:cs="宋体"/>
                <w:b w:val="0"/>
                <w:bCs/>
                <w:kern w:val="0"/>
                <w:szCs w:val="21"/>
              </w:rPr>
              <w:t>）拟解决教学计划从“教师自报—协调审核—任务生成—课表制定”的关键业务链路缺乏统一闭环支撑的问题，重点在系统中落实授课限制条件约束、开课计划审核、教学任务书生成与教学事故约束等机制，提升教学任务分配的规范性与可控性。</w:t>
            </w:r>
          </w:p>
          <w:p w14:paraId="5E78EF2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default" w:ascii="宋体" w:hAnsi="宋体" w:cs="宋体"/>
                <w:b w:val="0"/>
                <w:bCs w:val="0"/>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4</w:t>
            </w:r>
            <w:r>
              <w:rPr>
                <w:rFonts w:hint="eastAsia" w:ascii="宋体" w:hAnsi="宋体" w:cs="宋体"/>
                <w:b w:val="0"/>
                <w:bCs/>
                <w:kern w:val="0"/>
                <w:szCs w:val="21"/>
              </w:rPr>
              <w:t>）拟解决系统在可用性层面“不同层次用户操作复杂、使用效率不高”的问题，强调界面清晰、操作简洁，并在课程、方案、教室等资源规划方面实现更科学合理的分配，为管理决策提供更稳定的数据与流程支撑。</w:t>
            </w:r>
          </w:p>
        </w:tc>
      </w:tr>
      <w:tr w14:paraId="4143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0" w:type="dxa"/>
            <w:vAlign w:val="center"/>
          </w:tcPr>
          <w:p w14:paraId="42A234E9">
            <w:pPr>
              <w:keepNext w:val="0"/>
              <w:keepLines w:val="0"/>
              <w:widowControl w:val="0"/>
              <w:suppressLineNumbers w:val="0"/>
              <w:spacing w:before="0" w:beforeAutospacing="1" w:after="0" w:afterAutospacing="1"/>
              <w:ind w:left="0" w:leftChars="0" w:right="0" w:rightChars="0"/>
              <w:jc w:val="both"/>
              <w:rPr>
                <w:rFonts w:hint="default" w:hAnsi="宋体" w:eastAsia="黑体" w:cs="宋体"/>
                <w:kern w:val="0"/>
                <w:szCs w:val="21"/>
              </w:rPr>
            </w:pPr>
            <w:r>
              <w:rPr>
                <w:rFonts w:hint="eastAsia" w:ascii="黑体" w:hAnsi="宋体" w:eastAsia="黑体" w:cs="黑体"/>
                <w:kern w:val="0"/>
                <w:sz w:val="21"/>
                <w:szCs w:val="21"/>
                <w:lang w:val="en-US" w:eastAsia="zh-CN" w:bidi="ar"/>
              </w:rPr>
              <w:t>拟研究的主要内容</w:t>
            </w:r>
          </w:p>
        </w:tc>
        <w:tc>
          <w:tcPr>
            <w:tcW w:w="7740" w:type="dxa"/>
            <w:gridSpan w:val="3"/>
            <w:vAlign w:val="top"/>
          </w:tcPr>
          <w:p w14:paraId="1281DD6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1</w:t>
            </w:r>
            <w:r>
              <w:rPr>
                <w:rFonts w:hint="eastAsia" w:ascii="宋体" w:hAnsi="宋体" w:cs="宋体"/>
                <w:b w:val="0"/>
                <w:bCs/>
                <w:kern w:val="0"/>
                <w:szCs w:val="21"/>
              </w:rPr>
              <w:t>）开展需求分析与总体方案设计，明确系统两类核心角色及其业务边界：管理员端面向学院教学主管人员与教务处管理人员，负责处理教师提交的授课计划并最终形成下学期教学任务书与课程表；教师端围绕教师自报授课计划展开，支持教师查看教学计划与限制条件后填报授课计划并提交审核。</w:t>
            </w:r>
          </w:p>
          <w:p w14:paraId="0491B1D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2</w:t>
            </w:r>
            <w:r>
              <w:rPr>
                <w:rFonts w:hint="eastAsia" w:ascii="宋体" w:hAnsi="宋体" w:cs="宋体"/>
                <w:b w:val="0"/>
                <w:bCs/>
                <w:kern w:val="0"/>
                <w:szCs w:val="21"/>
              </w:rPr>
              <w:t>）完成系统架构与关键技术实现方案，后端采用</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构建业务服务并结合</w:t>
            </w:r>
            <w:r>
              <w:rPr>
                <w:rFonts w:hint="default" w:ascii="Times New Roman" w:hAnsi="Times New Roman" w:cs="Times New Roman"/>
                <w:b w:val="0"/>
                <w:bCs/>
                <w:kern w:val="0"/>
                <w:szCs w:val="21"/>
              </w:rPr>
              <w:t>Maven</w:t>
            </w:r>
            <w:r>
              <w:rPr>
                <w:rFonts w:hint="eastAsia" w:ascii="宋体" w:hAnsi="宋体" w:cs="宋体"/>
                <w:b w:val="0"/>
                <w:bCs/>
                <w:kern w:val="0"/>
                <w:szCs w:val="21"/>
              </w:rPr>
              <w:t>进行工程管理，数据库采用</w:t>
            </w:r>
            <w:r>
              <w:rPr>
                <w:rFonts w:hint="default" w:ascii="Times New Roman" w:hAnsi="Times New Roman" w:cs="Times New Roman"/>
                <w:b w:val="0"/>
                <w:bCs/>
                <w:kern w:val="0"/>
                <w:szCs w:val="21"/>
              </w:rPr>
              <w:t>MySQL8</w:t>
            </w:r>
            <w:r>
              <w:rPr>
                <w:rFonts w:hint="eastAsia" w:ascii="宋体" w:hAnsi="宋体" w:cs="宋体"/>
                <w:b w:val="0"/>
                <w:bCs/>
                <w:kern w:val="0"/>
                <w:szCs w:val="21"/>
              </w:rPr>
              <w:t>.</w:t>
            </w:r>
            <w:r>
              <w:rPr>
                <w:rFonts w:hint="default" w:ascii="Times New Roman" w:hAnsi="Times New Roman" w:cs="Times New Roman"/>
                <w:b w:val="0"/>
                <w:bCs/>
                <w:kern w:val="0"/>
                <w:szCs w:val="21"/>
              </w:rPr>
              <w:t>0</w:t>
            </w:r>
            <w:r>
              <w:rPr>
                <w:rFonts w:hint="eastAsia" w:ascii="宋体" w:hAnsi="宋体" w:cs="宋体"/>
                <w:b w:val="0"/>
                <w:bCs/>
                <w:kern w:val="0"/>
                <w:szCs w:val="21"/>
              </w:rPr>
              <w:t>实现数据存储；前端采用</w:t>
            </w:r>
            <w:r>
              <w:rPr>
                <w:rFonts w:hint="default" w:ascii="Times New Roman" w:hAnsi="Times New Roman" w:cs="Times New Roman"/>
                <w:b w:val="0"/>
                <w:bCs/>
                <w:kern w:val="0"/>
                <w:szCs w:val="21"/>
              </w:rPr>
              <w:t>Vue</w:t>
            </w:r>
            <w:r>
              <w:rPr>
                <w:rFonts w:hint="eastAsia" w:ascii="宋体" w:hAnsi="宋体" w:cs="宋体"/>
                <w:b w:val="0"/>
                <w:bCs/>
                <w:kern w:val="0"/>
                <w:szCs w:val="21"/>
              </w:rPr>
              <w:t>实现交互界面并通过</w:t>
            </w:r>
            <w:r>
              <w:rPr>
                <w:rFonts w:hint="default" w:ascii="Times New Roman" w:hAnsi="Times New Roman" w:cs="Times New Roman"/>
                <w:b w:val="0"/>
                <w:bCs/>
                <w:kern w:val="0"/>
                <w:szCs w:val="21"/>
              </w:rPr>
              <w:t>Axios</w:t>
            </w:r>
            <w:r>
              <w:rPr>
                <w:rFonts w:hint="eastAsia" w:ascii="宋体" w:hAnsi="宋体" w:cs="宋体"/>
                <w:b w:val="0"/>
                <w:bCs/>
                <w:kern w:val="0"/>
                <w:szCs w:val="21"/>
              </w:rPr>
              <w:t>进行接口数据交互，形成可扩展的前后端分离架构体系。</w:t>
            </w:r>
          </w:p>
          <w:p w14:paraId="230CCAB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3</w:t>
            </w:r>
            <w:r>
              <w:rPr>
                <w:rFonts w:hint="eastAsia" w:ascii="宋体" w:hAnsi="宋体" w:cs="宋体"/>
                <w:b w:val="0"/>
                <w:bCs/>
                <w:kern w:val="0"/>
                <w:szCs w:val="21"/>
              </w:rPr>
              <w:t>）完成管理员端核心功能模块设计与</w:t>
            </w:r>
            <w:bookmarkStart w:id="0" w:name="_GoBack"/>
            <w:bookmarkEnd w:id="0"/>
            <w:r>
              <w:rPr>
                <w:rFonts w:hint="eastAsia" w:ascii="宋体" w:hAnsi="宋体" w:cs="宋体"/>
                <w:b w:val="0"/>
                <w:bCs/>
                <w:kern w:val="0"/>
                <w:szCs w:val="21"/>
              </w:rPr>
              <w:t>实现，重点包括教师注册与开课审核、学院授课限制条件设置、教师与班级信息管理、任务书生成以及教学事故记录管理等模块，以支撑教学任务组织、审核约束与风险控制。</w:t>
            </w:r>
          </w:p>
          <w:p w14:paraId="3A7D53E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4</w:t>
            </w:r>
            <w:r>
              <w:rPr>
                <w:rFonts w:hint="eastAsia" w:ascii="宋体" w:hAnsi="宋体" w:cs="宋体"/>
                <w:b w:val="0"/>
                <w:bCs/>
                <w:kern w:val="0"/>
                <w:szCs w:val="21"/>
              </w:rPr>
              <w:t>）完成教师端核心功能模块设计与实现，重点包括班级信息、课程信息、教学计划与个人教学事故信息查询，自报授课计划并提交审核，个人基本信息维护以及数据导出等功能，保证教师端形成“查询—填报—提交—反馈”的基本闭环。</w:t>
            </w:r>
          </w:p>
          <w:p w14:paraId="6DE30CD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default" w:ascii="宋体" w:hAnsi="宋体" w:cs="宋体"/>
                <w:b w:val="0"/>
                <w:bCs w:val="0"/>
                <w:kern w:val="0"/>
                <w:szCs w:val="21"/>
              </w:rPr>
            </w:pPr>
            <w:r>
              <w:rPr>
                <w:rFonts w:hint="eastAsia" w:ascii="宋体" w:hAnsi="宋体" w:cs="宋体"/>
                <w:b w:val="0"/>
                <w:bCs/>
                <w:kern w:val="0"/>
                <w:szCs w:val="21"/>
              </w:rPr>
              <w:t>（</w:t>
            </w:r>
            <w:r>
              <w:rPr>
                <w:rFonts w:hint="default" w:ascii="Times New Roman" w:hAnsi="Times New Roman" w:cs="Times New Roman"/>
                <w:b w:val="0"/>
                <w:bCs/>
                <w:kern w:val="0"/>
                <w:szCs w:val="21"/>
              </w:rPr>
              <w:t>5</w:t>
            </w:r>
            <w:r>
              <w:rPr>
                <w:rFonts w:hint="eastAsia" w:ascii="宋体" w:hAnsi="宋体" w:cs="宋体"/>
                <w:b w:val="0"/>
                <w:bCs/>
                <w:kern w:val="0"/>
                <w:szCs w:val="21"/>
              </w:rPr>
              <w:t>）开展系统测试与综合验证，围绕基础信息增删改查、教师开课与审核、课表制定与班级管理等关键路径进行功能验证，形成测试记录与结论；同时完成论文撰写，系统阐述需求分析、架构设计、模块实现与验证过程，确保论文内容与系统实现相互印证并具备可验收性。</w:t>
            </w:r>
          </w:p>
        </w:tc>
      </w:tr>
      <w:tr w14:paraId="3BBC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1980" w:type="dxa"/>
            <w:vAlign w:val="center"/>
          </w:tcPr>
          <w:p w14:paraId="044E137F">
            <w:pPr>
              <w:keepNext w:val="0"/>
              <w:keepLines w:val="0"/>
              <w:suppressLineNumbers w:val="0"/>
              <w:spacing w:before="100" w:beforeAutospacing="1" w:after="100" w:afterAutospacing="1"/>
              <w:ind w:left="0" w:right="0"/>
              <w:jc w:val="center"/>
              <w:rPr>
                <w:rFonts w:hint="default" w:ascii="宋体" w:hAnsi="宋体" w:cs="宋体"/>
                <w:b/>
                <w:kern w:val="0"/>
                <w:szCs w:val="21"/>
              </w:rPr>
            </w:pPr>
            <w:r>
              <w:rPr>
                <w:rFonts w:hint="eastAsia" w:hAnsi="宋体" w:eastAsia="黑体" w:cs="宋体"/>
                <w:kern w:val="0"/>
                <w:szCs w:val="21"/>
              </w:rPr>
              <w:t>进度安排</w:t>
            </w:r>
          </w:p>
        </w:tc>
        <w:tc>
          <w:tcPr>
            <w:tcW w:w="7740" w:type="dxa"/>
            <w:gridSpan w:val="3"/>
          </w:tcPr>
          <w:p w14:paraId="3FD2F19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2025</w:t>
            </w:r>
            <w:r>
              <w:rPr>
                <w:rFonts w:hint="eastAsia" w:ascii="宋体" w:hAnsi="宋体" w:cs="宋体"/>
                <w:b w:val="0"/>
                <w:bCs/>
                <w:kern w:val="0"/>
                <w:szCs w:val="21"/>
              </w:rPr>
              <w:t>年</w:t>
            </w:r>
            <w:r>
              <w:rPr>
                <w:rFonts w:hint="default" w:ascii="Times New Roman" w:hAnsi="Times New Roman" w:cs="Times New Roman"/>
                <w:b w:val="0"/>
                <w:bCs/>
                <w:kern w:val="0"/>
                <w:szCs w:val="21"/>
              </w:rPr>
              <w:t>10</w:t>
            </w:r>
            <w:r>
              <w:rPr>
                <w:rFonts w:hint="eastAsia" w:ascii="宋体" w:hAnsi="宋体" w:cs="宋体"/>
                <w:b w:val="0"/>
                <w:bCs/>
                <w:kern w:val="0"/>
                <w:szCs w:val="21"/>
              </w:rPr>
              <w:t>月：搜集相关资料，总结学习理论知识及开发技术；下发任务书。</w:t>
            </w:r>
          </w:p>
          <w:p w14:paraId="123767E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2025</w:t>
            </w:r>
            <w:r>
              <w:rPr>
                <w:rFonts w:hint="eastAsia" w:ascii="宋体" w:hAnsi="宋体" w:cs="宋体"/>
                <w:b w:val="0"/>
                <w:bCs/>
                <w:kern w:val="0"/>
                <w:szCs w:val="21"/>
              </w:rPr>
              <w:t>年</w:t>
            </w:r>
            <w:r>
              <w:rPr>
                <w:rFonts w:hint="default" w:ascii="Times New Roman" w:hAnsi="Times New Roman" w:cs="Times New Roman"/>
                <w:b w:val="0"/>
                <w:bCs/>
                <w:kern w:val="0"/>
                <w:szCs w:val="21"/>
              </w:rPr>
              <w:t>11</w:t>
            </w:r>
            <w:r>
              <w:rPr>
                <w:rFonts w:hint="eastAsia" w:ascii="宋体" w:hAnsi="宋体" w:cs="宋体"/>
                <w:b w:val="0"/>
                <w:bCs/>
                <w:kern w:val="0"/>
                <w:szCs w:val="21"/>
              </w:rPr>
              <w:t>月：根据实际情况，进行需求分析；提交开题报告。</w:t>
            </w:r>
          </w:p>
          <w:p w14:paraId="7A0D9E9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2025</w:t>
            </w:r>
            <w:r>
              <w:rPr>
                <w:rFonts w:hint="eastAsia" w:ascii="宋体" w:hAnsi="宋体" w:cs="宋体"/>
                <w:b w:val="0"/>
                <w:bCs/>
                <w:kern w:val="0"/>
                <w:szCs w:val="21"/>
              </w:rPr>
              <w:t>年</w:t>
            </w:r>
            <w:r>
              <w:rPr>
                <w:rFonts w:hint="default" w:ascii="Times New Roman" w:hAnsi="Times New Roman" w:cs="Times New Roman"/>
                <w:b w:val="0"/>
                <w:bCs/>
                <w:kern w:val="0"/>
                <w:szCs w:val="21"/>
              </w:rPr>
              <w:t>12</w:t>
            </w:r>
            <w:r>
              <w:rPr>
                <w:rFonts w:hint="eastAsia" w:ascii="宋体" w:hAnsi="宋体" w:cs="宋体"/>
                <w:b w:val="0"/>
                <w:bCs/>
                <w:kern w:val="0"/>
                <w:szCs w:val="21"/>
              </w:rPr>
              <w:t>月：根据需求分析，进行系统总体设计。</w:t>
            </w:r>
          </w:p>
          <w:p w14:paraId="62F3E5C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2026</w:t>
            </w:r>
            <w:r>
              <w:rPr>
                <w:rFonts w:hint="eastAsia" w:ascii="宋体" w:hAnsi="宋体" w:cs="宋体"/>
                <w:b w:val="0"/>
                <w:bCs/>
                <w:kern w:val="0"/>
                <w:szCs w:val="21"/>
              </w:rPr>
              <w:t>年</w:t>
            </w:r>
            <w:r>
              <w:rPr>
                <w:rFonts w:hint="default" w:ascii="Times New Roman" w:hAnsi="Times New Roman" w:cs="Times New Roman"/>
                <w:b w:val="0"/>
                <w:bCs/>
                <w:kern w:val="0"/>
                <w:szCs w:val="21"/>
              </w:rPr>
              <w:t>01</w:t>
            </w:r>
            <w:r>
              <w:rPr>
                <w:rFonts w:hint="eastAsia" w:ascii="宋体" w:hAnsi="宋体" w:cs="宋体"/>
                <w:b w:val="0"/>
                <w:bCs/>
                <w:kern w:val="0"/>
                <w:szCs w:val="21"/>
              </w:rPr>
              <w:t>月：根据总体设计，进行系统详细设计与编码开发；完善系统功能。</w:t>
            </w:r>
          </w:p>
          <w:p w14:paraId="22144B2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firstLine="420" w:firstLineChars="200"/>
              <w:textAlignment w:val="auto"/>
              <w:rPr>
                <w:rFonts w:hint="eastAsia" w:ascii="宋体" w:hAnsi="宋体" w:cs="宋体"/>
                <w:b w:val="0"/>
                <w:bCs/>
                <w:kern w:val="0"/>
                <w:szCs w:val="21"/>
              </w:rPr>
            </w:pPr>
            <w:r>
              <w:rPr>
                <w:rFonts w:hint="default" w:ascii="Times New Roman" w:hAnsi="Times New Roman" w:cs="Times New Roman"/>
                <w:b w:val="0"/>
                <w:bCs/>
                <w:kern w:val="0"/>
                <w:szCs w:val="21"/>
              </w:rPr>
              <w:t>2026</w:t>
            </w:r>
            <w:r>
              <w:rPr>
                <w:rFonts w:hint="eastAsia" w:ascii="宋体" w:hAnsi="宋体" w:cs="宋体"/>
                <w:b w:val="0"/>
                <w:bCs/>
                <w:kern w:val="0"/>
                <w:szCs w:val="21"/>
              </w:rPr>
              <w:t>年</w:t>
            </w:r>
            <w:r>
              <w:rPr>
                <w:rFonts w:hint="default" w:ascii="Times New Roman" w:hAnsi="Times New Roman" w:cs="Times New Roman"/>
                <w:b w:val="0"/>
                <w:bCs/>
                <w:kern w:val="0"/>
                <w:szCs w:val="21"/>
              </w:rPr>
              <w:t>02</w:t>
            </w:r>
            <w:r>
              <w:rPr>
                <w:rFonts w:hint="eastAsia" w:ascii="宋体" w:hAnsi="宋体" w:cs="宋体"/>
                <w:b w:val="0"/>
                <w:bCs/>
                <w:kern w:val="0"/>
                <w:szCs w:val="21"/>
              </w:rPr>
              <w:t>月：进行系统测试、论文初稿撰写。</w:t>
            </w:r>
          </w:p>
          <w:p w14:paraId="7DD86C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default" w:ascii="宋体" w:hAnsi="宋体" w:cs="宋体"/>
                <w:bCs/>
                <w:kern w:val="0"/>
                <w:szCs w:val="21"/>
              </w:rPr>
            </w:pPr>
            <w:r>
              <w:rPr>
                <w:rFonts w:hint="default" w:ascii="Times New Roman" w:hAnsi="Times New Roman" w:cs="Times New Roman"/>
                <w:b w:val="0"/>
                <w:bCs/>
                <w:kern w:val="0"/>
                <w:szCs w:val="21"/>
              </w:rPr>
              <w:t>2026</w:t>
            </w:r>
            <w:r>
              <w:rPr>
                <w:rFonts w:hint="eastAsia" w:ascii="宋体" w:hAnsi="宋体" w:cs="宋体"/>
                <w:b w:val="0"/>
                <w:bCs/>
                <w:kern w:val="0"/>
                <w:szCs w:val="21"/>
              </w:rPr>
              <w:t>年</w:t>
            </w:r>
            <w:r>
              <w:rPr>
                <w:rFonts w:hint="default" w:ascii="Times New Roman" w:hAnsi="Times New Roman" w:cs="Times New Roman"/>
                <w:b w:val="0"/>
                <w:bCs/>
                <w:kern w:val="0"/>
                <w:szCs w:val="21"/>
              </w:rPr>
              <w:t>03</w:t>
            </w:r>
            <w:r>
              <w:rPr>
                <w:rFonts w:hint="eastAsia" w:ascii="宋体" w:hAnsi="宋体" w:cs="宋体"/>
                <w:b w:val="0"/>
                <w:bCs/>
                <w:kern w:val="0"/>
                <w:szCs w:val="21"/>
              </w:rPr>
              <w:t>月：论文修改，定稿，答辩。</w:t>
            </w:r>
          </w:p>
        </w:tc>
      </w:tr>
      <w:tr w14:paraId="7A88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1980" w:type="dxa"/>
            <w:vAlign w:val="center"/>
          </w:tcPr>
          <w:p w14:paraId="46941B05">
            <w:pPr>
              <w:keepNext w:val="0"/>
              <w:keepLines w:val="0"/>
              <w:suppressLineNumbers w:val="0"/>
              <w:spacing w:before="100" w:beforeAutospacing="1" w:after="100" w:afterAutospacing="1"/>
              <w:ind w:left="180" w:right="0"/>
              <w:jc w:val="center"/>
              <w:rPr>
                <w:rFonts w:hint="default" w:hAnsi="宋体" w:eastAsia="黑体" w:cs="宋体"/>
                <w:kern w:val="0"/>
                <w:szCs w:val="21"/>
              </w:rPr>
            </w:pPr>
            <w:r>
              <w:rPr>
                <w:rFonts w:hint="eastAsia" w:hAnsi="宋体" w:eastAsia="黑体" w:cs="宋体"/>
                <w:kern w:val="0"/>
                <w:szCs w:val="21"/>
              </w:rPr>
              <w:t>指导教师意见</w:t>
            </w:r>
          </w:p>
        </w:tc>
        <w:tc>
          <w:tcPr>
            <w:tcW w:w="7740" w:type="dxa"/>
            <w:gridSpan w:val="3"/>
            <w:shd w:val="clear" w:color="auto" w:fill="auto"/>
            <w:vAlign w:val="top"/>
          </w:tcPr>
          <w:p w14:paraId="2F8A043E">
            <w:pPr>
              <w:keepNext w:val="0"/>
              <w:keepLines w:val="0"/>
              <w:widowControl w:val="0"/>
              <w:suppressLineNumbers w:val="0"/>
              <w:spacing w:before="0" w:beforeAutospacing="1" w:after="0" w:afterAutospacing="1"/>
              <w:ind w:left="0" w:right="0"/>
              <w:jc w:val="left"/>
              <w:rPr>
                <w:rFonts w:hint="eastAsia" w:ascii="Times New Roman" w:hAnsi="Times New Roman" w:eastAsia="宋体" w:cs="宋体"/>
                <w:kern w:val="0"/>
                <w:sz w:val="21"/>
                <w:szCs w:val="21"/>
              </w:rPr>
            </w:pPr>
            <w:r>
              <w:rPr>
                <w:rFonts w:hint="default" w:ascii="Times New Roman" w:hAnsi="Times New Roman" w:eastAsia="宋体" w:cs="Times New Roman"/>
                <w:kern w:val="0"/>
                <w:sz w:val="21"/>
                <w:szCs w:val="21"/>
                <w:lang w:val="en-US" w:eastAsia="zh-CN" w:bidi="ar"/>
              </w:rPr>
              <w:t>{{teacherComments}}</w:t>
            </w:r>
          </w:p>
          <w:p w14:paraId="72A27729">
            <w:pPr>
              <w:keepNext w:val="0"/>
              <w:keepLines w:val="0"/>
              <w:widowControl w:val="0"/>
              <w:suppressLineNumbers w:val="0"/>
              <w:spacing w:before="0" w:beforeAutospacing="1" w:after="0" w:afterAutospacing="1"/>
              <w:ind w:left="181" w:leftChars="86" w:right="0" w:rightChars="0" w:firstLine="3885" w:firstLineChars="1850"/>
              <w:jc w:val="right"/>
              <w:rPr>
                <w:rFonts w:hint="eastAsia" w:ascii="宋体" w:hAnsi="宋体" w:eastAsia="宋体" w:cs="宋体"/>
                <w:b/>
                <w:bCs w:val="0"/>
                <w:kern w:val="0"/>
                <w:sz w:val="21"/>
                <w:szCs w:val="21"/>
                <w:lang w:val="en-US" w:eastAsia="zh-CN" w:bidi="ar-SA"/>
              </w:rPr>
            </w:pPr>
            <w:r>
              <w:rPr>
                <w:rFonts w:hint="default" w:ascii="Times New Roman" w:hAnsi="Times New Roman" w:eastAsia="宋体" w:cs="Times New Roman"/>
                <w:kern w:val="0"/>
                <w:sz w:val="21"/>
                <w:szCs w:val="21"/>
                <w:lang w:val="en-US" w:eastAsia="zh-CN" w:bidi="ar"/>
              </w:rPr>
              <w:t>{{teacherSignYear}}</w:t>
            </w:r>
            <w:r>
              <w:rPr>
                <w:rFonts w:hint="eastAsia" w:ascii="宋体" w:hAnsi="宋体" w:eastAsia="宋体" w:cs="宋体"/>
                <w:kern w:val="0"/>
                <w:sz w:val="21"/>
                <w:szCs w:val="21"/>
                <w:lang w:val="en-US" w:eastAsia="zh-CN" w:bidi="ar"/>
              </w:rPr>
              <w:t xml:space="preserve">年 </w:t>
            </w:r>
            <w:r>
              <w:rPr>
                <w:rFonts w:hint="default" w:ascii="Times New Roman" w:hAnsi="Times New Roman" w:eastAsia="宋体" w:cs="Times New Roman"/>
                <w:kern w:val="0"/>
                <w:sz w:val="21"/>
                <w:szCs w:val="21"/>
                <w:lang w:val="en-US" w:eastAsia="zh-CN" w:bidi="ar"/>
              </w:rPr>
              <w:t xml:space="preserve">{{teacherSignMoon}} </w:t>
            </w:r>
            <w:r>
              <w:rPr>
                <w:rFonts w:hint="eastAsia" w:ascii="宋体" w:hAnsi="宋体" w:eastAsia="宋体" w:cs="宋体"/>
                <w:kern w:val="0"/>
                <w:sz w:val="21"/>
                <w:szCs w:val="21"/>
                <w:lang w:val="en-US" w:eastAsia="zh-CN" w:bidi="ar"/>
              </w:rPr>
              <w:t xml:space="preserve">月 </w:t>
            </w:r>
            <w:r>
              <w:rPr>
                <w:rFonts w:hint="default" w:ascii="Times New Roman" w:hAnsi="Times New Roman" w:eastAsia="宋体" w:cs="Times New Roman"/>
                <w:kern w:val="0"/>
                <w:sz w:val="21"/>
                <w:szCs w:val="21"/>
                <w:lang w:val="en-US" w:eastAsia="zh-CN" w:bidi="ar"/>
              </w:rPr>
              <w:t>{{teacherSignDay}}</w:t>
            </w:r>
            <w:r>
              <w:rPr>
                <w:rFonts w:hint="eastAsia" w:ascii="宋体" w:hAnsi="宋体" w:eastAsia="宋体" w:cs="宋体"/>
                <w:kern w:val="0"/>
                <w:sz w:val="21"/>
                <w:szCs w:val="21"/>
                <w:lang w:val="en-US" w:eastAsia="zh-CN" w:bidi="ar"/>
              </w:rPr>
              <w:t>日</w:t>
            </w:r>
          </w:p>
        </w:tc>
      </w:tr>
    </w:tbl>
    <w:p w14:paraId="7B5D23B1">
      <w:pPr>
        <w:widowControl/>
        <w:spacing w:before="100" w:beforeAutospacing="1" w:after="100" w:afterAutospacing="1"/>
        <w:jc w:val="left"/>
        <w:rPr>
          <w:szCs w:val="21"/>
        </w:rPr>
      </w:pPr>
      <w:r>
        <w:rPr>
          <w:rFonts w:hint="eastAsia" w:ascii="宋体" w:hAnsi="宋体" w:cs="宋体"/>
          <w:kern w:val="0"/>
          <w:sz w:val="24"/>
        </w:rPr>
        <w:t xml:space="preserve"> </w:t>
      </w:r>
      <w:r>
        <w:rPr>
          <w:rFonts w:hint="eastAsia" w:cs="宋体"/>
          <w:kern w:val="0"/>
          <w:sz w:val="24"/>
        </w:rPr>
        <w:t>注</w:t>
      </w:r>
      <w:r>
        <w:rPr>
          <w:rFonts w:hint="eastAsia" w:cs="宋体"/>
          <w:kern w:val="0"/>
          <w:szCs w:val="21"/>
        </w:rPr>
        <w:t>：本表由学生填写，指导教师审核</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910C">
    <w:pPr>
      <w:jc w:val="left"/>
    </w:pPr>
    <w:r>
      <w:rPr>
        <w:sz w:val="20"/>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274955</wp:posOffset>
              </wp:positionV>
              <wp:extent cx="6400800" cy="0"/>
              <wp:effectExtent l="0" t="4445" r="0" b="5080"/>
              <wp:wrapNone/>
              <wp:docPr id="2" name="直线 2"/>
              <wp:cNvGraphicFramePr/>
              <a:graphic xmlns:a="http://schemas.openxmlformats.org/drawingml/2006/main">
                <a:graphicData uri="http://schemas.microsoft.com/office/word/2010/wordprocessingShape">
                  <wps:wsp>
                    <wps:cNvCnPr/>
                    <wps:spPr>
                      <a:xfrm>
                        <a:off x="0" y="0"/>
                        <a:ext cx="64008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27pt;margin-top:21.65pt;height:0pt;width:504pt;z-index:251660288;mso-width-relative:page;mso-height-relative:page;" filled="f" stroked="t" coordsize="21600,21600" o:gfxdata="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1AZ01QAAAAkBAAAPAAAA&#10;AAAAAAEAIAAAACIAAABkcnMvZG93bnJldi54bWxQSwECFAAUAAAACACHTuJA0fwxbt8BAADPAwAA&#10;DgAAAAAAAAABACAAAAAkAQAAZHJzL2Uyb0RvYy54bWxQSwUGAAAAAAYABgBZAQAAdQ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column">
                <wp:posOffset>-457200</wp:posOffset>
              </wp:positionH>
              <wp:positionV relativeFrom="paragraph">
                <wp:posOffset>-22225</wp:posOffset>
              </wp:positionV>
              <wp:extent cx="6515100" cy="396240"/>
              <wp:effectExtent l="4445" t="4445" r="14605" b="18415"/>
              <wp:wrapNone/>
              <wp:docPr id="1" name="文本框 1"/>
              <wp:cNvGraphicFramePr/>
              <a:graphic xmlns:a="http://schemas.openxmlformats.org/drawingml/2006/main">
                <a:graphicData uri="http://schemas.microsoft.com/office/word/2010/wordprocessingShape">
                  <wps:wsp>
                    <wps:cNvSpPr txBox="1"/>
                    <wps:spPr>
                      <a:xfrm>
                        <a:off x="0" y="0"/>
                        <a:ext cx="6515100" cy="3962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818EF50">
                          <w:pPr>
                            <w:rPr>
                              <w:u w:val="single"/>
                            </w:rPr>
                          </w:pPr>
                        </w:p>
                      </w:txbxContent>
                    </wps:txbx>
                    <wps:bodyPr wrap="square" upright="1"/>
                  </wps:wsp>
                </a:graphicData>
              </a:graphic>
            </wp:anchor>
          </w:drawing>
        </mc:Choice>
        <mc:Fallback>
          <w:pict>
            <v:shape id="_x0000_s1026" o:spid="_x0000_s1026" o:spt="202" type="#_x0000_t202" style="position:absolute;left:0pt;margin-left:-36pt;margin-top:-1.75pt;height:31.2pt;width:513pt;z-index:-251657216;mso-width-relative:page;mso-height-relative:page;" fillcolor="#FFFFFF" filled="t"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4Avz2QAAAAkBAAAPAAAAAAAA&#10;AAEAIAAAACIAAABkcnMvZG93bnJldi54bWxQSwECFAAUAAAACACHTuJAIknY+RECAABEBAAADgAA&#10;AAAAAAABACAAAAAoAQAAZHJzL2Uyb0RvYy54bWxQSwUGAAAAAAYABgBZAQAAqwUAAAAA&#10;">
              <v:fill on="t" focussize="0,0"/>
              <v:stroke color="#FFFFFF" joinstyle="miter"/>
              <v:imagedata o:title=""/>
              <o:lock v:ext="edit" aspectratio="f"/>
              <v:textbox>
                <w:txbxContent>
                  <w:p w14:paraId="3818EF50">
                    <w:pPr>
                      <w:rPr>
                        <w:u w:val="single"/>
                      </w:rPr>
                    </w:pPr>
                  </w:p>
                </w:txbxContent>
              </v:textbox>
            </v:shape>
          </w:pict>
        </mc:Fallback>
      </mc:AlternateContent>
    </w:r>
    <w:r>
      <w:rPr>
        <w:rFonts w:hint="eastAsia"/>
      </w:rPr>
      <w:drawing>
        <wp:inline distT="0" distB="0" distL="114300" distR="114300">
          <wp:extent cx="1145540" cy="231140"/>
          <wp:effectExtent l="0" t="0" r="16510" b="16510"/>
          <wp:docPr id="3"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名"/>
                  <pic:cNvPicPr>
                    <a:picLocks noChangeAspect="1"/>
                  </pic:cNvPicPr>
                </pic:nvPicPr>
                <pic:blipFill>
                  <a:blip r:embed="rId1"/>
                  <a:stretch>
                    <a:fillRect/>
                  </a:stretch>
                </pic:blipFill>
                <pic:spPr>
                  <a:xfrm>
                    <a:off x="0" y="0"/>
                    <a:ext cx="1145540" cy="231140"/>
                  </a:xfrm>
                  <a:prstGeom prst="rect">
                    <a:avLst/>
                  </a:prstGeom>
                  <a:noFill/>
                  <a:ln>
                    <a:noFill/>
                  </a:ln>
                </pic:spPr>
              </pic:pic>
            </a:graphicData>
          </a:graphic>
        </wp:inline>
      </w:drawing>
    </w:r>
    <w:r>
      <w:rPr>
        <w:rFonts w:hint="eastAsia"/>
      </w:rPr>
      <w:t xml:space="preserve">                                              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YjVlMzYwOWM1N2E2MTk4ZGVmZjM1Njc4YzM0NjgifQ=="/>
  </w:docVars>
  <w:rsids>
    <w:rsidRoot w:val="009511AC"/>
    <w:rsid w:val="0005307A"/>
    <w:rsid w:val="00130A7D"/>
    <w:rsid w:val="001351E1"/>
    <w:rsid w:val="00185874"/>
    <w:rsid w:val="0019129E"/>
    <w:rsid w:val="00191E03"/>
    <w:rsid w:val="001D7B73"/>
    <w:rsid w:val="002003A3"/>
    <w:rsid w:val="00244054"/>
    <w:rsid w:val="00247731"/>
    <w:rsid w:val="00273105"/>
    <w:rsid w:val="002C0311"/>
    <w:rsid w:val="00304448"/>
    <w:rsid w:val="00337799"/>
    <w:rsid w:val="003520AD"/>
    <w:rsid w:val="00420ED7"/>
    <w:rsid w:val="00431BE4"/>
    <w:rsid w:val="00474FEB"/>
    <w:rsid w:val="004900EB"/>
    <w:rsid w:val="004D31A0"/>
    <w:rsid w:val="00575C3A"/>
    <w:rsid w:val="00597770"/>
    <w:rsid w:val="0061175D"/>
    <w:rsid w:val="00650FC9"/>
    <w:rsid w:val="00657534"/>
    <w:rsid w:val="006A4F96"/>
    <w:rsid w:val="006C3F49"/>
    <w:rsid w:val="006D3F2E"/>
    <w:rsid w:val="006F4FF2"/>
    <w:rsid w:val="00737701"/>
    <w:rsid w:val="00764310"/>
    <w:rsid w:val="007C16C8"/>
    <w:rsid w:val="007D2804"/>
    <w:rsid w:val="008562C8"/>
    <w:rsid w:val="00875DC5"/>
    <w:rsid w:val="008B43C3"/>
    <w:rsid w:val="00902525"/>
    <w:rsid w:val="00917EA2"/>
    <w:rsid w:val="00932DA0"/>
    <w:rsid w:val="009511AC"/>
    <w:rsid w:val="00A508C1"/>
    <w:rsid w:val="00AA59DB"/>
    <w:rsid w:val="00AF2EF5"/>
    <w:rsid w:val="00B142D6"/>
    <w:rsid w:val="00B611DE"/>
    <w:rsid w:val="00B75EEE"/>
    <w:rsid w:val="00BC442B"/>
    <w:rsid w:val="00C01F5D"/>
    <w:rsid w:val="00C21EEE"/>
    <w:rsid w:val="00C92C36"/>
    <w:rsid w:val="00CC0FB7"/>
    <w:rsid w:val="00CE7708"/>
    <w:rsid w:val="00DA77F2"/>
    <w:rsid w:val="00DF5E5F"/>
    <w:rsid w:val="00E91E61"/>
    <w:rsid w:val="00F17A92"/>
    <w:rsid w:val="00F819CB"/>
    <w:rsid w:val="00FB3165"/>
    <w:rsid w:val="00FF2A80"/>
    <w:rsid w:val="03907BB1"/>
    <w:rsid w:val="04CE4EFC"/>
    <w:rsid w:val="0DF66E74"/>
    <w:rsid w:val="0E944965"/>
    <w:rsid w:val="12714AE1"/>
    <w:rsid w:val="13C82CA1"/>
    <w:rsid w:val="17532B56"/>
    <w:rsid w:val="198919B5"/>
    <w:rsid w:val="1C186535"/>
    <w:rsid w:val="1C66296C"/>
    <w:rsid w:val="1FAF398A"/>
    <w:rsid w:val="28D11D56"/>
    <w:rsid w:val="2DB94DE9"/>
    <w:rsid w:val="2E2E56AD"/>
    <w:rsid w:val="31217607"/>
    <w:rsid w:val="322C259B"/>
    <w:rsid w:val="3E832110"/>
    <w:rsid w:val="438B7B15"/>
    <w:rsid w:val="43CF6EC4"/>
    <w:rsid w:val="48ED1121"/>
    <w:rsid w:val="48FF72FD"/>
    <w:rsid w:val="4BD745CC"/>
    <w:rsid w:val="4D1C7E93"/>
    <w:rsid w:val="4E963718"/>
    <w:rsid w:val="4F356C4D"/>
    <w:rsid w:val="4F7B197C"/>
    <w:rsid w:val="50E23812"/>
    <w:rsid w:val="51FC1711"/>
    <w:rsid w:val="58624521"/>
    <w:rsid w:val="59C979F0"/>
    <w:rsid w:val="5B121874"/>
    <w:rsid w:val="5ECA6D53"/>
    <w:rsid w:val="5FC107E1"/>
    <w:rsid w:val="62A567B2"/>
    <w:rsid w:val="656802DF"/>
    <w:rsid w:val="661C356C"/>
    <w:rsid w:val="6DA46936"/>
    <w:rsid w:val="6EBE05A9"/>
    <w:rsid w:val="72497675"/>
    <w:rsid w:val="72597B33"/>
    <w:rsid w:val="74FF2112"/>
    <w:rsid w:val="76D0713E"/>
    <w:rsid w:val="77AE1E5B"/>
    <w:rsid w:val="7A5A0D05"/>
    <w:rsid w:val="7B9D58CA"/>
    <w:rsid w:val="7BA81BEC"/>
    <w:rsid w:val="7BBC6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3</Pages>
  <Words>208</Words>
  <Characters>291</Characters>
  <Lines>1</Lines>
  <Paragraphs>1</Paragraphs>
  <TotalTime>0</TotalTime>
  <ScaleCrop>false</ScaleCrop>
  <LinksUpToDate>false</LinksUpToDate>
  <CharactersWithSpaces>316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2007-05-16T08:50:00Z</dcterms:created>
  <dc:creator>YlmF</dc:creator>
  <cp:lastModifiedBy>sponny</cp:lastModifiedBy>
  <dcterms:modified xsi:type="dcterms:W3CDTF">2026-01-31T05:28:45Z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22E43102309442B9841C2B4FBD5A5DDE_13</vt:lpwstr>
  </property>
  <property fmtid="{D5CDD505-2E9C-101B-9397-08002B2CF9AE}" pid="4" name="KSOTemplateDocerSaveRecord">
    <vt:lpwstr>eyJoZGlkIjoiZjVhNGJiMWVmZTg4ZjFhYWZhYWFiMzBkODkwYWRkZmUiLCJ1c2VySWQiOiI3ODAwNzY1MDkifQ==</vt:lpwstr>
  </property>
</Properties>
</file>