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D3883">
      <w:pPr>
        <w:pStyle w:val="31"/>
        <w:jc w:val="center"/>
      </w:pPr>
      <w:r>
        <w:rPr>
          <w:rFonts w:ascii="Calibri" w:hAnsi="Calibri" w:eastAsia="黑体"/>
          <w:b/>
          <w:i w:val="0"/>
          <w:color w:val="142332"/>
          <w:sz w:val="38"/>
        </w:rPr>
        <w:t>面向低温氦气测试站快速预测控制的</w:t>
      </w:r>
      <w:r>
        <w:rPr>
          <w:rFonts w:ascii="Calibri" w:hAnsi="Calibri" w:eastAsia="黑体"/>
          <w:b/>
          <w:i w:val="0"/>
          <w:color w:val="142332"/>
          <w:sz w:val="38"/>
        </w:rPr>
        <w:br w:type="textWrapping"/>
      </w:r>
      <w:r>
        <w:rPr>
          <w:rFonts w:ascii="Calibri" w:hAnsi="Calibri" w:eastAsia="黑体"/>
          <w:b/>
          <w:i w:val="0"/>
          <w:color w:val="142332"/>
          <w:sz w:val="38"/>
        </w:rPr>
        <w:t>物理约束注意力 GRU-ODE 温度代理模型</w:t>
      </w:r>
    </w:p>
    <w:p w14:paraId="13972252">
      <w:pPr>
        <w:pStyle w:val="26"/>
        <w:jc w:val="center"/>
      </w:pPr>
      <w:r>
        <w:rPr>
          <w:rFonts w:ascii="Calibri" w:hAnsi="Calibri" w:eastAsia="宋体"/>
          <w:b w:val="0"/>
          <w:i/>
          <w:color w:val="5F6973"/>
          <w:sz w:val="21"/>
        </w:rPr>
        <w:t>Physics-constrained attention GRU-ODE surrogate for rapid temperature prediction in a cryogenic helium test station</w:t>
      </w:r>
    </w:p>
    <w:p w14:paraId="7B8BF6EF">
      <w:pPr>
        <w:pBdr>
          <w:left w:val="single" w:color="1F4E79" w:sz="18" w:space="5"/>
        </w:pBdr>
        <w:shd w:val="clear" w:fill="EAF2F8"/>
        <w:spacing w:before="80" w:after="140" w:line="276" w:lineRule="auto"/>
        <w:ind w:left="115" w:right="115"/>
      </w:pPr>
      <w:r>
        <w:rPr>
          <w:rFonts w:ascii="Calibri" w:hAnsi="Calibri" w:eastAsia="宋体"/>
          <w:b/>
          <w:i w:val="0"/>
          <w:color w:val="1F4E79"/>
          <w:sz w:val="20"/>
        </w:rPr>
        <w:t xml:space="preserve">稿件状态 </w:t>
      </w:r>
      <w:r>
        <w:rPr>
          <w:rFonts w:ascii="Calibri" w:hAnsi="Calibri" w:eastAsia="宋体"/>
          <w:b w:val="0"/>
          <w:i w:val="0"/>
          <w:color w:val="1F4E79"/>
          <w:sz w:val="20"/>
        </w:rPr>
        <w:t>V0.1 中文技术初稿模型与数据依据当前提供的代码、权重和清洗数据。红色内容必须在投稿前确认或补做，橙色内容为建议增强实验，蓝色内容为图表占位与制图要求。</w:t>
      </w:r>
    </w:p>
    <w:p w14:paraId="58E19177">
      <w:pPr>
        <w:spacing w:before="200" w:after="40"/>
        <w:jc w:val="center"/>
      </w:pPr>
      <w:r>
        <w:rPr>
          <w:rFonts w:ascii="Calibri" w:hAnsi="Calibri" w:eastAsia="宋体"/>
          <w:b/>
          <w:i w:val="0"/>
          <w:color w:val="1F2D3D"/>
          <w:sz w:val="21"/>
        </w:rPr>
        <w:t>作者：</w:t>
      </w:r>
      <w:r>
        <w:rPr>
          <w:rFonts w:ascii="Calibri" w:hAnsi="Calibri" w:eastAsia="宋体"/>
          <w:b/>
          <w:i w:val="0"/>
          <w:color w:val="C00000"/>
          <w:sz w:val="21"/>
        </w:rPr>
        <w:t>【待填写作者姓名、排序及 ORCID】</w:t>
      </w:r>
    </w:p>
    <w:p w14:paraId="3BBAEECA">
      <w:pPr>
        <w:spacing w:after="40"/>
        <w:jc w:val="center"/>
      </w:pPr>
      <w:r>
        <w:rPr>
          <w:rFonts w:ascii="Calibri" w:hAnsi="Calibri" w:eastAsia="宋体"/>
          <w:b/>
          <w:i w:val="0"/>
          <w:color w:val="1F2D3D"/>
          <w:sz w:val="21"/>
        </w:rPr>
        <w:t>单位：</w:t>
      </w:r>
      <w:r>
        <w:rPr>
          <w:rFonts w:ascii="Calibri" w:hAnsi="Calibri" w:eastAsia="宋体"/>
          <w:b/>
          <w:i w:val="0"/>
          <w:color w:val="C00000"/>
          <w:sz w:val="21"/>
        </w:rPr>
        <w:t>【待填写完整单位、城市、邮编、国家】</w:t>
      </w:r>
    </w:p>
    <w:p w14:paraId="75A7B712">
      <w:pPr>
        <w:spacing w:after="320"/>
        <w:jc w:val="center"/>
      </w:pPr>
      <w:r>
        <w:rPr>
          <w:rFonts w:ascii="Calibri" w:hAnsi="Calibri" w:eastAsia="宋体"/>
          <w:b/>
          <w:i w:val="0"/>
          <w:color w:val="1F2D3D"/>
          <w:sz w:val="21"/>
        </w:rPr>
        <w:t>通讯作者：</w:t>
      </w:r>
      <w:r>
        <w:rPr>
          <w:rFonts w:ascii="Calibri" w:hAnsi="Calibri" w:eastAsia="宋体"/>
          <w:b/>
          <w:i w:val="0"/>
          <w:color w:val="C00000"/>
          <w:sz w:val="21"/>
        </w:rPr>
        <w:t>【待填写姓名与邮箱】</w:t>
      </w:r>
    </w:p>
    <w:p w14:paraId="5D605F53">
      <w:pPr>
        <w:pStyle w:val="3"/>
        <w:keepNext/>
        <w:keepLines/>
      </w:pPr>
      <w:r>
        <w:t>Highlights（投稿时另存为独立文件）</w:t>
      </w:r>
    </w:p>
    <w:p w14:paraId="54BF469C">
      <w:pPr>
        <w:pStyle w:val="16"/>
        <w:spacing w:after="80" w:line="290" w:lineRule="auto"/>
      </w:pPr>
      <w:r>
        <w:rPr>
          <w:rFonts w:ascii="Calibri" w:hAnsi="Calibri" w:eastAsia="宋体"/>
          <w:b w:val="0"/>
          <w:i w:val="0"/>
          <w:color w:val="1F2D3D"/>
          <w:sz w:val="21"/>
        </w:rPr>
        <w:t>构建面向 300–4.5 K 冷却过程的物理约束 GRU-ODE 温度代理模型。</w:t>
      </w:r>
    </w:p>
    <w:p w14:paraId="7B19DD18">
      <w:pPr>
        <w:pStyle w:val="16"/>
        <w:spacing w:after="80" w:line="290" w:lineRule="auto"/>
      </w:pPr>
      <w:r>
        <w:rPr>
          <w:rFonts w:ascii="Calibri" w:hAnsi="Calibri" w:eastAsia="宋体"/>
          <w:b w:val="0"/>
          <w:i w:val="0"/>
          <w:color w:val="1F2D3D"/>
          <w:sz w:val="21"/>
        </w:rPr>
        <w:t>以阀门事件先验、氦物性衍生特征和反事实单调约束增强可控性。</w:t>
      </w:r>
    </w:p>
    <w:p w14:paraId="3D4F7453">
      <w:pPr>
        <w:pStyle w:val="16"/>
        <w:spacing w:after="80" w:line="290" w:lineRule="auto"/>
      </w:pPr>
      <w:r>
        <w:rPr>
          <w:rFonts w:ascii="Calibri" w:hAnsi="Calibri" w:eastAsia="宋体"/>
          <w:b w:val="0"/>
          <w:i w:val="0"/>
          <w:color w:val="1F2D3D"/>
          <w:sz w:val="21"/>
        </w:rPr>
        <w:t>在当前独立测试序列上，GRU-ODE 的 MAE 较 GRU 降低约 37.6%。</w:t>
      </w:r>
    </w:p>
    <w:p w14:paraId="74B292E2">
      <w:pPr>
        <w:pStyle w:val="16"/>
        <w:spacing w:after="80" w:line="290" w:lineRule="auto"/>
      </w:pPr>
      <w:r>
        <w:rPr>
          <w:rFonts w:ascii="Calibri" w:hAnsi="Calibri" w:eastAsia="宋体"/>
          <w:b w:val="0"/>
          <w:i w:val="0"/>
          <w:color w:val="1F2D3D"/>
          <w:sz w:val="21"/>
        </w:rPr>
        <w:t>给出潜变量 ODE 的适定性与控制扰动敏感性界，为安全使用提供条件。</w:t>
      </w:r>
    </w:p>
    <w:p w14:paraId="48925CC5">
      <w:pPr>
        <w:pStyle w:val="3"/>
        <w:keepNext/>
        <w:keepLines/>
      </w:pPr>
      <w:r>
        <w:t>Graphical abstract（占位）</w:t>
      </w:r>
    </w:p>
    <w:p w14:paraId="3A8E1B60">
      <w:pPr>
        <w:pBdr>
          <w:left w:val="single" w:color="0070C0" w:sz="18" w:space="5"/>
        </w:pBdr>
        <w:shd w:val="clear" w:fill="EAF2F8"/>
        <w:spacing w:before="80" w:after="140" w:line="276" w:lineRule="auto"/>
        <w:ind w:left="115" w:right="115"/>
      </w:pPr>
      <w:r>
        <w:rPr>
          <w:rFonts w:ascii="Calibri" w:hAnsi="Calibri" w:eastAsia="宋体"/>
          <w:b/>
          <w:i w:val="0"/>
          <w:color w:val="0070C0"/>
          <w:sz w:val="20"/>
        </w:rPr>
        <w:t xml:space="preserve">【图表占位】 </w:t>
      </w:r>
      <w:r>
        <w:rPr>
          <w:rFonts w:ascii="Calibri" w:hAnsi="Calibri" w:eastAsia="宋体"/>
          <w:b w:val="0"/>
          <w:i w:val="0"/>
          <w:color w:val="0070C0"/>
          <w:sz w:val="20"/>
        </w:rPr>
        <w:t>图形摘要：建议使用“低温测试站传感器/阀门序列 → 物性特征与事件先验 → GRU 编码 → 受控潜变量 ODE → 10 min 后 TE8353 与物理约束检查”的单向流程。按期刊要求单独提交，比例不低于 1328×531 px；不得使用生成式 AI 制图。</w:t>
      </w:r>
    </w:p>
    <w:p w14:paraId="52B2D7F6">
      <w:pPr>
        <w:pStyle w:val="3"/>
        <w:keepNext/>
        <w:keepLines/>
      </w:pPr>
      <w:r>
        <w:t>摘要</w:t>
      </w:r>
    </w:p>
    <w:p w14:paraId="5332A876">
      <w:pPr>
        <w:spacing w:before="0" w:after="160" w:line="320" w:lineRule="auto"/>
        <w:jc w:val="both"/>
      </w:pPr>
      <w:r>
        <w:rPr>
          <w:rFonts w:ascii="Calibri" w:hAnsi="Calibri" w:eastAsia="宋体"/>
          <w:b w:val="0"/>
          <w:i w:val="0"/>
          <w:color w:val="1F2D3D"/>
          <w:sz w:val="21"/>
        </w:rPr>
        <w:t>超导模组低温测试站的动态调节依赖对阀门动作后温度响应的快速预测。高保真热工水力模型能够描述氦工质的非线性瞬态，但其计算开销难以支撑在线多方案评估；纯数据驱动循环网络虽具备快速推理能力，却可能在训练分布之外产生违反降温机理的反事实响应。为此，本文提出一种面向阀箱侧出口温度 TE8353 的物理约束注意力 GRU-ODE 代理模型。模型首先利用双层门控循环单元编码 10 min 历史窗口，并通过阀门事件掩码引导时间注意力；随后将历史上下文映射为潜在初态，在当前控制量条件下由神经常微分方程连续演化，经四阶 Runge–Kutta 方法求得预测终态并输出 10 min 后的温度增量。训练目标联合加权 Huber 监督损失、阀门开度反事实单调损失和由低温入口 TE8351 构造的温度下界损失。当前数据包含 3 个独立冷却源组扩增得到的 616,800 条训练记录，以及 1 次独立冷却试验的 18,510 条测试记录。在现有配置下，GRU-ODE 的测试 MAE 为 1.358 K、R² 为 0.9979；对应 GRU 基线分别为 2.178 K 和 0.9975，MAE 降低 37.6%。进一步给出了潜变量 ODE 解的存在唯一性及其对初态和控制扰动的显式敏感性上界，从而界定模型用于反事实评估时所需的有界控制域。结果表明，连续潜变量</w:t>
      </w:r>
      <w:bookmarkStart w:id="0" w:name="_GoBack"/>
      <w:bookmarkEnd w:id="0"/>
      <w:r>
        <w:rPr>
          <w:rFonts w:ascii="Calibri" w:hAnsi="Calibri" w:eastAsia="宋体"/>
          <w:b w:val="0"/>
          <w:i w:val="0"/>
          <w:color w:val="1F2D3D"/>
          <w:sz w:val="21"/>
        </w:rPr>
        <w:t>动力学与弱物理约束相结合具有构建低时延低温系统代理模型的潜力。鉴于当前两模型的输入维度及下界损失设置尚未完全对齐，本文将该结果视为初步证据，并给出投稿前所需的同条件消融、跨批次验证和推理时延测试方案。</w:t>
      </w:r>
    </w:p>
    <w:p w14:paraId="23FA8A8F">
      <w:pPr>
        <w:pBdr>
          <w:left w:val="single" w:color="C00000" w:sz="18" w:space="5"/>
        </w:pBdr>
        <w:shd w:val="clear" w:fill="FDE9E7"/>
        <w:spacing w:before="80" w:after="140" w:line="276" w:lineRule="auto"/>
        <w:ind w:left="115" w:right="115"/>
      </w:pPr>
      <w:r>
        <w:rPr>
          <w:rFonts w:ascii="Calibri" w:hAnsi="Calibri" w:eastAsia="宋体"/>
          <w:b/>
          <w:i w:val="0"/>
          <w:color w:val="C00000"/>
          <w:sz w:val="20"/>
        </w:rPr>
        <w:t xml:space="preserve">【摘要待更新】 </w:t>
      </w:r>
      <w:r>
        <w:rPr>
          <w:rFonts w:ascii="Calibri" w:hAnsi="Calibri" w:eastAsia="宋体"/>
          <w:b w:val="0"/>
          <w:i w:val="0"/>
          <w:color w:val="C00000"/>
          <w:sz w:val="20"/>
        </w:rPr>
        <w:t>完成同特征、同损失、5 个随机种子的重跑后，应以均值±标准差和 95% 置信区间替换当前单次指标。</w:t>
      </w:r>
    </w:p>
    <w:p w14:paraId="3F6EB413">
      <w:pPr>
        <w:spacing w:before="120" w:after="240"/>
      </w:pPr>
      <w:r>
        <w:rPr>
          <w:rFonts w:ascii="Calibri" w:hAnsi="Calibri" w:eastAsia="宋体"/>
          <w:b/>
          <w:i w:val="0"/>
          <w:color w:val="1F4E79"/>
          <w:sz w:val="21"/>
        </w:rPr>
        <w:t>关键词：</w:t>
      </w:r>
      <w:r>
        <w:rPr>
          <w:rFonts w:ascii="Calibri" w:hAnsi="Calibri" w:eastAsia="宋体"/>
          <w:b w:val="0"/>
          <w:i w:val="0"/>
          <w:color w:val="1F2D3D"/>
          <w:sz w:val="21"/>
        </w:rPr>
        <w:t>低温氦系统；温度预测；GRU；神经常微分方程；物理约束；代理模型；模型预测控制</w:t>
      </w:r>
    </w:p>
    <w:p w14:paraId="0DE5522C">
      <w:pPr>
        <w:pStyle w:val="3"/>
        <w:keepNext/>
        <w:keepLines/>
      </w:pPr>
      <w:r>
        <w:t>1. 引言</w:t>
      </w:r>
    </w:p>
    <w:p w14:paraId="17C4B8E8">
      <w:pPr>
        <w:spacing w:before="0" w:after="160" w:line="320" w:lineRule="auto"/>
        <w:ind w:firstLine="403"/>
        <w:jc w:val="both"/>
      </w:pPr>
      <w:r>
        <w:rPr>
          <w:rFonts w:ascii="Calibri" w:hAnsi="Calibri" w:eastAsia="宋体"/>
          <w:b w:val="0"/>
          <w:i w:val="0"/>
          <w:color w:val="1F2D3D"/>
          <w:sz w:val="21"/>
        </w:rPr>
        <w:t>超导加速器与聚变装置的低温系统包含长距离输运管线、换热器、调节阀以及大量温度、压力和流量传感器，其冷却过程表现出强非线性、长时滞、工况切换和部分可观测等特征。以 4C 为代表的热工水力系统代码能够联合描述超导磁体、低温回路及其耦合瞬态[1]，但高保真离散与小时间步积分会带来较高计算成本。已有研究因此使用人工神经网络替代部分详细模型，在 HELIOS 与 ITER 场景中获得了显著加速，并验证了数据驱动代理嵌入受控低温回路的可行性[2–4]。这类工作说明，面向实时监测和控制，代理模型不仅需要全局拟合精度，还必须保持对控制输入的合理响应。</w:t>
      </w:r>
    </w:p>
    <w:p w14:paraId="5C266560">
      <w:pPr>
        <w:spacing w:before="0" w:after="160" w:line="320" w:lineRule="auto"/>
        <w:ind w:firstLine="403"/>
        <w:jc w:val="both"/>
      </w:pPr>
      <w:r>
        <w:rPr>
          <w:rFonts w:ascii="Calibri" w:hAnsi="Calibri" w:eastAsia="宋体"/>
          <w:b w:val="0"/>
          <w:i w:val="0"/>
          <w:color w:val="1F2D3D"/>
          <w:sz w:val="21"/>
        </w:rPr>
        <w:t>循环神经网络能够从历史序列中压缩长时滞信息。GRU 通过更新门和重置门缓解普通 RNN 的梯度传播困难[5]，但其状态递推依附于固定采样网格，且终值预测通常缺少连续动力学结构。Neural ODE 将隐藏状态的导数参数化为神经网络，并通过数值积分定义连续深度映射[6]；GRU-ODE、Latent ODE 等模型进一步将离散观测编码与连续潜变量演化结合，用于不规则时序和外推[7,8]。在工业过程中，序列编码器与 ODE 导数模块的组合也已用于具有长时滞和部分观测特性的连续时间预测[9]。然而，直接学习的向量场仍可能在未见控制组合下产生不可接受的温度方向或幅值。</w:t>
      </w:r>
    </w:p>
    <w:p w14:paraId="242237B4">
      <w:pPr>
        <w:spacing w:before="0" w:after="160" w:line="320" w:lineRule="auto"/>
        <w:ind w:firstLine="403"/>
        <w:jc w:val="both"/>
      </w:pPr>
      <w:r>
        <w:rPr>
          <w:rFonts w:ascii="Calibri" w:hAnsi="Calibri" w:eastAsia="宋体"/>
          <w:b w:val="0"/>
          <w:i w:val="0"/>
          <w:color w:val="1F2D3D"/>
          <w:sz w:val="21"/>
        </w:rPr>
        <w:t>物理信息机器学习通过在目标函数中嵌入守恒关系、边界条件或定性机理，为有限数据下的泛化提供了可行路径[10]。本文采用三类与当前装置和代码相匹配的弱物理信息：其一，以氦密度、焓值和阀门开度构造伪质量流量及伪冷量；其二，以阀门动作事件引导时间注意力；其三，通过反事实阀门扰动约束“增大降温阀开度不应提高预测终温”，并以低温入口温度构造出口温度下界。该策略不要求完整控制方程，适合存在漏热、传感器漂移和边界条件不完备的现场数据。</w:t>
      </w:r>
    </w:p>
    <w:p w14:paraId="1D2A9D7A">
      <w:pPr>
        <w:spacing w:before="0" w:after="160" w:line="320" w:lineRule="auto"/>
        <w:ind w:firstLine="403"/>
        <w:jc w:val="both"/>
      </w:pPr>
      <w:r>
        <w:rPr>
          <w:rFonts w:ascii="Calibri" w:hAnsi="Calibri" w:eastAsia="宋体"/>
          <w:b w:val="0"/>
          <w:i w:val="0"/>
          <w:color w:val="1F2D3D"/>
          <w:sz w:val="21"/>
        </w:rPr>
        <w:t>受离散模型与连续模型协同预测思想启发[11]，本文将 GRU 历史编码器与受控潜变量 ODE 连接，但与多步 MPC 训练框架不同，当前模型面向单个固定预测终点，ODE 在归一化潜时间区间内演化。因此，本文不声称获得闭环稳定性或 MPC 最优性保证，而是给出与实际模型一致的适定性和控制扰动敏感性界。这种克制的理论表述既保留了连续动力学结构的解释，也避免把潜变量 ODE 误写为完整热工水力方程。</w:t>
      </w:r>
    </w:p>
    <w:p w14:paraId="134CA012">
      <w:pPr>
        <w:spacing w:before="0" w:after="80" w:line="320" w:lineRule="auto"/>
        <w:jc w:val="both"/>
      </w:pPr>
      <w:r>
        <w:rPr>
          <w:rFonts w:ascii="Calibri" w:hAnsi="Calibri" w:eastAsia="宋体"/>
          <w:b w:val="0"/>
          <w:i w:val="0"/>
          <w:color w:val="1F2D3D"/>
          <w:sz w:val="21"/>
        </w:rPr>
        <w:t>本文的主要贡献如下：</w:t>
      </w:r>
    </w:p>
    <w:p w14:paraId="00CEA419">
      <w:pPr>
        <w:pStyle w:val="14"/>
        <w:spacing w:after="100" w:line="290" w:lineRule="auto"/>
      </w:pPr>
      <w:r>
        <w:rPr>
          <w:rFonts w:ascii="Calibri" w:hAnsi="Calibri" w:eastAsia="宋体"/>
          <w:b w:val="0"/>
          <w:i w:val="0"/>
          <w:color w:val="1F2D3D"/>
          <w:sz w:val="21"/>
        </w:rPr>
        <w:t>提出面向 8300 低温测试站阀箱侧 TE8353 的注意力 GRU-ODE 终值预测结构，以历史序列估计潜在热状态，并在控制量条件下连续演化。</w:t>
      </w:r>
    </w:p>
    <w:p w14:paraId="4389FACE">
      <w:pPr>
        <w:pStyle w:val="14"/>
        <w:spacing w:after="100" w:line="290" w:lineRule="auto"/>
      </w:pPr>
      <w:r>
        <w:rPr>
          <w:rFonts w:ascii="Calibri" w:hAnsi="Calibri" w:eastAsia="宋体"/>
          <w:b w:val="0"/>
          <w:i w:val="0"/>
          <w:color w:val="1F2D3D"/>
          <w:sz w:val="21"/>
        </w:rPr>
        <w:t>构建由氦物性衍生特征、阀门事件先验、反事实单调约束和入口温度下界组成的弱物理约束体系。</w:t>
      </w:r>
    </w:p>
    <w:p w14:paraId="3A7BB251">
      <w:pPr>
        <w:pStyle w:val="14"/>
        <w:spacing w:after="100" w:line="290" w:lineRule="auto"/>
      </w:pPr>
      <w:r>
        <w:rPr>
          <w:rFonts w:ascii="Calibri" w:hAnsi="Calibri" w:eastAsia="宋体"/>
          <w:b w:val="0"/>
          <w:i w:val="0"/>
          <w:color w:val="1F2D3D"/>
          <w:sz w:val="21"/>
        </w:rPr>
        <w:t>基于真实冷却批次给出 GRU 与 GRU-ODE 的初步对比，并系统识别当前实验中影响发表结论的混杂因素和复现实验要求。</w:t>
      </w:r>
    </w:p>
    <w:p w14:paraId="4DDA5571">
      <w:pPr>
        <w:pStyle w:val="14"/>
        <w:spacing w:after="100" w:line="290" w:lineRule="auto"/>
      </w:pPr>
      <w:r>
        <w:rPr>
          <w:rFonts w:ascii="Calibri" w:hAnsi="Calibri" w:eastAsia="宋体"/>
          <w:b w:val="0"/>
          <w:i w:val="0"/>
          <w:color w:val="1F2D3D"/>
          <w:sz w:val="21"/>
        </w:rPr>
        <w:t>在 Lipschitz 条件下证明潜变量 ODE 的解存在唯一，并推导输出对初态与控制扰动的上界，为限定反事实干预范围提供理论依据。</w:t>
      </w:r>
    </w:p>
    <w:p w14:paraId="7BA00B68">
      <w:pPr>
        <w:pStyle w:val="3"/>
        <w:keepNext/>
        <w:keepLines/>
      </w:pPr>
      <w:r>
        <w:t>2. 系统描述与问题定义</w:t>
      </w:r>
    </w:p>
    <w:p w14:paraId="7706BE8E">
      <w:pPr>
        <w:pStyle w:val="4"/>
        <w:keepNext/>
        <w:keepLines/>
      </w:pPr>
      <w:r>
        <w:t>2.1 低温测试站与预测对象</w:t>
      </w:r>
    </w:p>
    <w:p w14:paraId="7A3C4BE1">
      <w:pPr>
        <w:spacing w:before="0" w:after="160" w:line="320" w:lineRule="auto"/>
        <w:ind w:firstLine="403"/>
        <w:jc w:val="both"/>
      </w:pPr>
      <w:r>
        <w:rPr>
          <w:rFonts w:ascii="Calibri" w:hAnsi="Calibri" w:eastAsia="宋体"/>
          <w:b w:val="0"/>
          <w:i w:val="0"/>
          <w:color w:val="1F2D3D"/>
          <w:sz w:val="21"/>
        </w:rPr>
        <w:t>8300 测试站由阀箱侧与模组侧构成。阀箱侧包含 G1/G2 预冷管路、A 管低温氦支路、混气管路、逆流式换热器及旁路；主要调节阀包括 CV8300、CV8313、CV8310 和 CV8351。G 管与 A 管氦流在混气段汇合后，经换热器或旁路流向模组侧。本文以混气及换热器下游的 TE8353 为预测目标，研究 300–4.5 K 冷却阶段。模组侧平均温度 Thv 与 2 K 阶段不纳入当前模型。</w:t>
      </w:r>
    </w:p>
    <w:p w14:paraId="14F22B68">
      <w:pPr>
        <w:pBdr>
          <w:left w:val="single" w:color="0070C0" w:sz="18" w:space="5"/>
        </w:pBdr>
        <w:shd w:val="clear" w:fill="EAF2F8"/>
        <w:spacing w:before="80" w:after="140" w:line="276" w:lineRule="auto"/>
        <w:ind w:left="115" w:right="115"/>
      </w:pPr>
      <w:r>
        <w:rPr>
          <w:rFonts w:ascii="Calibri" w:hAnsi="Calibri" w:eastAsia="宋体"/>
          <w:b/>
          <w:i w:val="0"/>
          <w:color w:val="0070C0"/>
          <w:sz w:val="20"/>
        </w:rPr>
        <w:t xml:space="preserve">【图表占位】 </w:t>
      </w:r>
      <w:r>
        <w:rPr>
          <w:rFonts w:ascii="Calibri" w:hAnsi="Calibri" w:eastAsia="宋体"/>
          <w:b w:val="0"/>
          <w:i w:val="0"/>
          <w:color w:val="0070C0"/>
          <w:sz w:val="20"/>
        </w:rPr>
        <w:t>图 1 低温测试站流程及测点：需要由原 PLC/HMI 工艺图重新绘制为矢量流程图，仅保留 A/G 管、换热器、CV8300/CV8313/CV8310/CV8351、TE8310、PT8310、FT8351、TE8351、TE8353 与流向。当前 Word 中 8400 截图分辨率低且名称不一致，不宜直接投稿。</w:t>
      </w:r>
    </w:p>
    <w:p w14:paraId="366FFBAB">
      <w:pPr>
        <w:pBdr>
          <w:left w:val="single" w:color="C00000" w:sz="18" w:space="5"/>
        </w:pBdr>
        <w:shd w:val="clear" w:fill="FDE9E7"/>
        <w:spacing w:before="80" w:after="140" w:line="276" w:lineRule="auto"/>
        <w:ind w:left="115" w:right="115"/>
      </w:pPr>
      <w:r>
        <w:rPr>
          <w:rFonts w:ascii="Calibri" w:hAnsi="Calibri" w:eastAsia="宋体"/>
          <w:b/>
          <w:i w:val="0"/>
          <w:color w:val="C00000"/>
          <w:sz w:val="20"/>
        </w:rPr>
        <w:t xml:space="preserve">【投稿前必须补充】 </w:t>
      </w:r>
      <w:r>
        <w:rPr>
          <w:rFonts w:ascii="Calibri" w:hAnsi="Calibri" w:eastAsia="宋体"/>
          <w:b w:val="0"/>
          <w:i w:val="0"/>
          <w:color w:val="C00000"/>
          <w:sz w:val="20"/>
        </w:rPr>
        <w:t>装置与工况信息：确认 8300 与 8400 流程的对应关系、各阀门物理作用方向、TE8351 是否在所有工况下均为 TE8353 的有效下界，以及 300–4.5 K 阶段忽略换热器回气端换热的适用范围。</w:t>
      </w:r>
    </w:p>
    <w:p w14:paraId="1D928179">
      <w:pPr>
        <w:pStyle w:val="4"/>
        <w:keepNext/>
        <w:keepLines/>
      </w:pPr>
      <w:r>
        <w:t>2.2 预测任务</w:t>
      </w:r>
    </w:p>
    <w:p w14:paraId="2C56C797">
      <w:pPr>
        <w:spacing w:before="0" w:after="160" w:line="320" w:lineRule="auto"/>
        <w:ind w:firstLine="403"/>
        <w:jc w:val="both"/>
      </w:pPr>
      <w:r>
        <w:rPr>
          <w:rFonts w:ascii="Calibri" w:hAnsi="Calibri" w:eastAsia="宋体"/>
          <w:b w:val="0"/>
          <w:i w:val="0"/>
          <w:color w:val="1F2D3D"/>
          <w:sz w:val="21"/>
        </w:rPr>
        <w:t>设采样时刻为 t，传感器与阀门观测向量为 x_t∈R^d，目标温度为 T_t。长度为 L 的历史窗口记为 X_t={x_{t-L+1},…,x_t}。模型学习 H 步温度增量</w:t>
      </w:r>
    </w:p>
    <w:p w14:paraId="07A0411C">
      <w:pPr>
        <w:keepLines/>
        <w:spacing w:before="80" w:after="120"/>
        <w:jc w:val="center"/>
      </w:pPr>
      <w:r>
        <w:rPr>
          <w:rFonts w:ascii="Cambria Math" w:hAnsi="Cambria Math" w:eastAsia="Cambria Math"/>
          <w:b w:val="0"/>
          <w:i w:val="0"/>
          <w:color w:val="1F2D3D"/>
          <w:sz w:val="21"/>
        </w:rPr>
        <w:t>ΔT_t^(H) = T_(t+H) − T_t,    T̂_(t+H) = T_t + ΔT̂_t^(H).    (1)</w:t>
      </w:r>
    </w:p>
    <w:p w14:paraId="7A9D94AC">
      <w:pPr>
        <w:spacing w:before="0" w:after="160" w:line="320" w:lineRule="auto"/>
        <w:ind w:firstLine="403"/>
        <w:jc w:val="both"/>
      </w:pPr>
      <w:r>
        <w:rPr>
          <w:rFonts w:ascii="Calibri" w:hAnsi="Calibri" w:eastAsia="宋体"/>
          <w:b w:val="0"/>
          <w:i w:val="0"/>
          <w:color w:val="1F2D3D"/>
          <w:sz w:val="21"/>
        </w:rPr>
        <w:t>当前代码取 L=60、H=60。若采样周期确为 10 s，则历史窗口和预测跨度均为 600 s，即 10 min。增量建模减弱不同绝对温区对损失尺度的影响，并使模型集中学习降温速率及阀门动作后的偏移。</w:t>
      </w:r>
    </w:p>
    <w:p w14:paraId="1F2BA61C">
      <w:pPr>
        <w:pBdr>
          <w:left w:val="single" w:color="C00000" w:sz="18" w:space="5"/>
        </w:pBdr>
        <w:shd w:val="clear" w:fill="FDE9E7"/>
        <w:spacing w:before="80" w:after="140" w:line="276" w:lineRule="auto"/>
        <w:ind w:left="115" w:right="115"/>
      </w:pPr>
      <w:r>
        <w:rPr>
          <w:rFonts w:ascii="Calibri" w:hAnsi="Calibri" w:eastAsia="宋体"/>
          <w:b/>
          <w:i w:val="0"/>
          <w:color w:val="C00000"/>
          <w:sz w:val="20"/>
        </w:rPr>
        <w:t xml:space="preserve">【时间口径必须统一】 </w:t>
      </w:r>
      <w:r>
        <w:rPr>
          <w:rFonts w:ascii="Calibri" w:hAnsi="Calibri" w:eastAsia="宋体"/>
          <w:b w:val="0"/>
          <w:i w:val="0"/>
          <w:color w:val="C00000"/>
          <w:sz w:val="20"/>
        </w:rPr>
        <w:t>项目框架同时出现“0.1 Hz”“60 步=15 min”和“90 步=15 min”。数学上 0.1 Hz 对应 10 s/点，故 60 步=10 min、90 步=15 min。当前权重与文件名均为 60 步；本文暂按 10 min 书写。</w:t>
      </w:r>
    </w:p>
    <w:p w14:paraId="602A63FD">
      <w:pPr>
        <w:spacing w:before="0" w:after="160" w:line="320" w:lineRule="auto"/>
        <w:ind w:firstLine="403"/>
        <w:jc w:val="both"/>
      </w:pPr>
      <w:r>
        <w:rPr>
          <w:rFonts w:ascii="Calibri" w:hAnsi="Calibri" w:eastAsia="宋体"/>
          <w:b w:val="0"/>
          <w:i w:val="0"/>
          <w:color w:val="1F2D3D"/>
          <w:sz w:val="21"/>
        </w:rPr>
        <w:t>面向在线控制，理想代理模型应接收未来控制序列并输出多时刻温度轨迹。当前实现仅使用历史窗口末端的控制向量，并输出单一终值；滑窗测试图中的连续预测曲线由多个终值预测拼接而成，不等同于从同一初态进行 10 min 开环滚动。因此本文将任务准确界定为“MPC 导向的固定时距终值预测”，完整多控制方案滚动仿真列为后续工作。</w:t>
      </w:r>
    </w:p>
    <w:p w14:paraId="5E5E23A5">
      <w:pPr>
        <w:pStyle w:val="3"/>
        <w:keepNext/>
        <w:keepLines/>
      </w:pPr>
      <w:r>
        <w:t>3. 数据与特征工程</w:t>
      </w:r>
    </w:p>
    <w:p w14:paraId="50256C11">
      <w:pPr>
        <w:pStyle w:val="4"/>
        <w:keepNext/>
        <w:keepLines/>
      </w:pPr>
      <w:r>
        <w:t>3.1 数据来源与分组</w:t>
      </w:r>
    </w:p>
    <w:p w14:paraId="432BE6A5">
      <w:pPr>
        <w:spacing w:before="0" w:after="160" w:line="320" w:lineRule="auto"/>
        <w:ind w:firstLine="403"/>
        <w:jc w:val="both"/>
      </w:pPr>
      <w:r>
        <w:rPr>
          <w:rFonts w:ascii="Calibri" w:hAnsi="Calibri" w:eastAsia="宋体"/>
          <w:b w:val="0"/>
          <w:i w:val="0"/>
          <w:color w:val="1F2D3D"/>
          <w:sz w:val="21"/>
        </w:rPr>
        <w:t>当前清洗数据包含 616,800 条训练记录和 18,510 条独立测试记录，均无缺失值。训练数据由 30 个文件标识组成，但可追溯到 3 个独立 source_group：0118、0403 和 0501；每个源组对应 10 个扩增副本。测试集仅包含 1226 一个独立源组。为避免同源扩增副本跨集合泄漏，代码按 source_group 划分，当前训练组为 0118 与 0403，验证组为 0501，测试组为 1226。</w:t>
      </w:r>
    </w:p>
    <w:tbl>
      <w:tblPr>
        <w:tblStyle w:val="32"/>
        <w:tblW w:w="9360" w:type="dxa"/>
        <w:tblInd w:w="120" w:type="dxa"/>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Layout w:type="fixed"/>
        <w:tblCellMar>
          <w:top w:w="0" w:type="dxa"/>
          <w:left w:w="108" w:type="dxa"/>
          <w:bottom w:w="0" w:type="dxa"/>
          <w:right w:w="108" w:type="dxa"/>
        </w:tblCellMar>
      </w:tblPr>
      <w:tblGrid>
        <w:gridCol w:w="1440"/>
        <w:gridCol w:w="2880"/>
        <w:gridCol w:w="1800"/>
        <w:gridCol w:w="3240"/>
      </w:tblGrid>
      <w:tr w14:paraId="44B59AD1">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PrEx>
        <w:trPr>
          <w:tblHeader/>
        </w:trPr>
        <w:tc>
          <w:tcPr>
            <w:tcW w:w="1440" w:type="dxa"/>
            <w:shd w:val="clear" w:color="auto" w:fill="F3F5F7"/>
            <w:tcMar>
              <w:top w:w="90" w:type="dxa"/>
              <w:left w:w="120" w:type="dxa"/>
              <w:bottom w:w="90" w:type="dxa"/>
              <w:right w:w="120" w:type="dxa"/>
            </w:tcMar>
            <w:vAlign w:val="center"/>
          </w:tcPr>
          <w:p w14:paraId="1FEBF834">
            <w:pPr>
              <w:spacing w:after="0"/>
              <w:jc w:val="center"/>
            </w:pPr>
            <w:r>
              <w:rPr>
                <w:rFonts w:ascii="Calibri" w:hAnsi="Calibri" w:eastAsia="宋体"/>
                <w:b/>
                <w:i w:val="0"/>
                <w:color w:val="1F4E79"/>
                <w:sz w:val="18"/>
              </w:rPr>
              <w:t>集合</w:t>
            </w:r>
          </w:p>
        </w:tc>
        <w:tc>
          <w:tcPr>
            <w:tcW w:w="2880" w:type="dxa"/>
            <w:shd w:val="clear" w:color="auto" w:fill="F3F5F7"/>
            <w:tcMar>
              <w:top w:w="90" w:type="dxa"/>
              <w:left w:w="120" w:type="dxa"/>
              <w:bottom w:w="90" w:type="dxa"/>
              <w:right w:w="120" w:type="dxa"/>
            </w:tcMar>
            <w:vAlign w:val="center"/>
          </w:tcPr>
          <w:p w14:paraId="4AB6DDC4">
            <w:pPr>
              <w:spacing w:after="0"/>
              <w:jc w:val="center"/>
            </w:pPr>
            <w:r>
              <w:rPr>
                <w:rFonts w:ascii="Calibri" w:hAnsi="Calibri" w:eastAsia="宋体"/>
                <w:b/>
                <w:i w:val="0"/>
                <w:color w:val="1F4E79"/>
                <w:sz w:val="18"/>
              </w:rPr>
              <w:t>独立源组</w:t>
            </w:r>
          </w:p>
        </w:tc>
        <w:tc>
          <w:tcPr>
            <w:tcW w:w="1800" w:type="dxa"/>
            <w:shd w:val="clear" w:color="auto" w:fill="F3F5F7"/>
            <w:tcMar>
              <w:top w:w="90" w:type="dxa"/>
              <w:left w:w="120" w:type="dxa"/>
              <w:bottom w:w="90" w:type="dxa"/>
              <w:right w:w="120" w:type="dxa"/>
            </w:tcMar>
            <w:vAlign w:val="center"/>
          </w:tcPr>
          <w:p w14:paraId="085097D8">
            <w:pPr>
              <w:spacing w:after="0"/>
              <w:jc w:val="center"/>
            </w:pPr>
            <w:r>
              <w:rPr>
                <w:rFonts w:ascii="Calibri" w:hAnsi="Calibri" w:eastAsia="宋体"/>
                <w:b/>
                <w:i w:val="0"/>
                <w:color w:val="1F4E79"/>
                <w:sz w:val="18"/>
              </w:rPr>
              <w:t>记录数</w:t>
            </w:r>
          </w:p>
        </w:tc>
        <w:tc>
          <w:tcPr>
            <w:tcW w:w="3240" w:type="dxa"/>
            <w:shd w:val="clear" w:color="auto" w:fill="F3F5F7"/>
            <w:tcMar>
              <w:top w:w="90" w:type="dxa"/>
              <w:left w:w="120" w:type="dxa"/>
              <w:bottom w:w="90" w:type="dxa"/>
              <w:right w:w="120" w:type="dxa"/>
            </w:tcMar>
            <w:vAlign w:val="center"/>
          </w:tcPr>
          <w:p w14:paraId="2BB29F1E">
            <w:pPr>
              <w:spacing w:after="0"/>
              <w:jc w:val="center"/>
            </w:pPr>
            <w:r>
              <w:rPr>
                <w:rFonts w:ascii="Calibri" w:hAnsi="Calibri" w:eastAsia="宋体"/>
                <w:b/>
                <w:i w:val="0"/>
                <w:color w:val="1F4E79"/>
                <w:sz w:val="18"/>
              </w:rPr>
              <w:t>当前用途</w:t>
            </w:r>
          </w:p>
        </w:tc>
      </w:tr>
      <w:tr w14:paraId="7D5F21F5">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1440" w:type="dxa"/>
            <w:tcMar>
              <w:top w:w="90" w:type="dxa"/>
              <w:left w:w="120" w:type="dxa"/>
              <w:bottom w:w="90" w:type="dxa"/>
              <w:right w:w="120" w:type="dxa"/>
            </w:tcMar>
            <w:vAlign w:val="center"/>
          </w:tcPr>
          <w:p w14:paraId="10B0B000">
            <w:pPr>
              <w:spacing w:after="0" w:line="264" w:lineRule="auto"/>
              <w:jc w:val="center"/>
            </w:pPr>
            <w:r>
              <w:rPr>
                <w:rFonts w:ascii="Calibri" w:hAnsi="Calibri" w:eastAsia="宋体"/>
                <w:b w:val="0"/>
                <w:i w:val="0"/>
                <w:color w:val="1F2D3D"/>
                <w:sz w:val="18"/>
              </w:rPr>
              <w:t>训练</w:t>
            </w:r>
          </w:p>
        </w:tc>
        <w:tc>
          <w:tcPr>
            <w:tcW w:w="2880" w:type="dxa"/>
            <w:tcMar>
              <w:top w:w="90" w:type="dxa"/>
              <w:left w:w="120" w:type="dxa"/>
              <w:bottom w:w="90" w:type="dxa"/>
              <w:right w:w="120" w:type="dxa"/>
            </w:tcMar>
            <w:vAlign w:val="center"/>
          </w:tcPr>
          <w:p w14:paraId="77BACB0D">
            <w:pPr>
              <w:spacing w:after="0" w:line="264" w:lineRule="auto"/>
              <w:jc w:val="left"/>
            </w:pPr>
            <w:r>
              <w:rPr>
                <w:rFonts w:ascii="Calibri" w:hAnsi="Calibri" w:eastAsia="宋体"/>
                <w:b w:val="0"/>
                <w:i w:val="0"/>
                <w:color w:val="1F2D3D"/>
                <w:sz w:val="18"/>
              </w:rPr>
              <w:t>0118、0403</w:t>
            </w:r>
          </w:p>
        </w:tc>
        <w:tc>
          <w:tcPr>
            <w:tcW w:w="1800" w:type="dxa"/>
            <w:tcMar>
              <w:top w:w="90" w:type="dxa"/>
              <w:left w:w="120" w:type="dxa"/>
              <w:bottom w:w="90" w:type="dxa"/>
              <w:right w:w="120" w:type="dxa"/>
            </w:tcMar>
            <w:vAlign w:val="center"/>
          </w:tcPr>
          <w:p w14:paraId="216146D7">
            <w:pPr>
              <w:spacing w:after="0" w:line="264" w:lineRule="auto"/>
              <w:jc w:val="left"/>
            </w:pPr>
            <w:r>
              <w:rPr>
                <w:rFonts w:ascii="Calibri" w:hAnsi="Calibri" w:eastAsia="宋体"/>
                <w:b w:val="0"/>
                <w:i w:val="0"/>
                <w:color w:val="1F2D3D"/>
                <w:sz w:val="18"/>
              </w:rPr>
              <w:t>354,000</w:t>
            </w:r>
          </w:p>
        </w:tc>
        <w:tc>
          <w:tcPr>
            <w:tcW w:w="3240" w:type="dxa"/>
            <w:tcMar>
              <w:top w:w="90" w:type="dxa"/>
              <w:left w:w="120" w:type="dxa"/>
              <w:bottom w:w="90" w:type="dxa"/>
              <w:right w:w="120" w:type="dxa"/>
            </w:tcMar>
            <w:vAlign w:val="center"/>
          </w:tcPr>
          <w:p w14:paraId="65F63C6D">
            <w:pPr>
              <w:spacing w:after="0" w:line="264" w:lineRule="auto"/>
              <w:jc w:val="left"/>
            </w:pPr>
            <w:r>
              <w:rPr>
                <w:rFonts w:ascii="Calibri" w:hAnsi="Calibri" w:eastAsia="宋体"/>
                <w:b w:val="0"/>
                <w:i w:val="0"/>
                <w:color w:val="1F2D3D"/>
                <w:sz w:val="18"/>
              </w:rPr>
              <w:t>参数更新</w:t>
            </w:r>
          </w:p>
        </w:tc>
      </w:tr>
      <w:tr w14:paraId="6122EEB4">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1440" w:type="dxa"/>
            <w:tcMar>
              <w:top w:w="90" w:type="dxa"/>
              <w:left w:w="120" w:type="dxa"/>
              <w:bottom w:w="90" w:type="dxa"/>
              <w:right w:w="120" w:type="dxa"/>
            </w:tcMar>
            <w:vAlign w:val="center"/>
          </w:tcPr>
          <w:p w14:paraId="608A52BA">
            <w:pPr>
              <w:spacing w:after="0" w:line="264" w:lineRule="auto"/>
              <w:jc w:val="center"/>
            </w:pPr>
            <w:r>
              <w:rPr>
                <w:rFonts w:ascii="Calibri" w:hAnsi="Calibri" w:eastAsia="宋体"/>
                <w:b w:val="0"/>
                <w:i w:val="0"/>
                <w:color w:val="1F2D3D"/>
                <w:sz w:val="18"/>
              </w:rPr>
              <w:t>验证</w:t>
            </w:r>
          </w:p>
        </w:tc>
        <w:tc>
          <w:tcPr>
            <w:tcW w:w="2880" w:type="dxa"/>
            <w:tcMar>
              <w:top w:w="90" w:type="dxa"/>
              <w:left w:w="120" w:type="dxa"/>
              <w:bottom w:w="90" w:type="dxa"/>
              <w:right w:w="120" w:type="dxa"/>
            </w:tcMar>
            <w:vAlign w:val="center"/>
          </w:tcPr>
          <w:p w14:paraId="74A53B1A">
            <w:pPr>
              <w:spacing w:after="0" w:line="264" w:lineRule="auto"/>
              <w:jc w:val="left"/>
            </w:pPr>
            <w:r>
              <w:rPr>
                <w:rFonts w:ascii="Calibri" w:hAnsi="Calibri" w:eastAsia="宋体"/>
                <w:b w:val="0"/>
                <w:i w:val="0"/>
                <w:color w:val="1F2D3D"/>
                <w:sz w:val="18"/>
              </w:rPr>
              <w:t>0501</w:t>
            </w:r>
          </w:p>
        </w:tc>
        <w:tc>
          <w:tcPr>
            <w:tcW w:w="1800" w:type="dxa"/>
            <w:tcMar>
              <w:top w:w="90" w:type="dxa"/>
              <w:left w:w="120" w:type="dxa"/>
              <w:bottom w:w="90" w:type="dxa"/>
              <w:right w:w="120" w:type="dxa"/>
            </w:tcMar>
            <w:vAlign w:val="center"/>
          </w:tcPr>
          <w:p w14:paraId="4A106B96">
            <w:pPr>
              <w:spacing w:after="0" w:line="264" w:lineRule="auto"/>
              <w:jc w:val="left"/>
            </w:pPr>
            <w:r>
              <w:rPr>
                <w:rFonts w:ascii="Calibri" w:hAnsi="Calibri" w:eastAsia="宋体"/>
                <w:b w:val="0"/>
                <w:i w:val="0"/>
                <w:color w:val="1F2D3D"/>
                <w:sz w:val="18"/>
              </w:rPr>
              <w:t>262,800</w:t>
            </w:r>
          </w:p>
        </w:tc>
        <w:tc>
          <w:tcPr>
            <w:tcW w:w="3240" w:type="dxa"/>
            <w:tcMar>
              <w:top w:w="90" w:type="dxa"/>
              <w:left w:w="120" w:type="dxa"/>
              <w:bottom w:w="90" w:type="dxa"/>
              <w:right w:w="120" w:type="dxa"/>
            </w:tcMar>
            <w:vAlign w:val="center"/>
          </w:tcPr>
          <w:p w14:paraId="0FA7D1C3">
            <w:pPr>
              <w:spacing w:after="0" w:line="264" w:lineRule="auto"/>
              <w:jc w:val="left"/>
            </w:pPr>
            <w:r>
              <w:rPr>
                <w:rFonts w:ascii="Calibri" w:hAnsi="Calibri" w:eastAsia="宋体"/>
                <w:b w:val="0"/>
                <w:i w:val="0"/>
                <w:color w:val="1F2D3D"/>
                <w:sz w:val="18"/>
              </w:rPr>
              <w:t>早停与模型选择</w:t>
            </w:r>
          </w:p>
        </w:tc>
      </w:tr>
      <w:tr w14:paraId="34125C17">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1440" w:type="dxa"/>
            <w:tcMar>
              <w:top w:w="90" w:type="dxa"/>
              <w:left w:w="120" w:type="dxa"/>
              <w:bottom w:w="90" w:type="dxa"/>
              <w:right w:w="120" w:type="dxa"/>
            </w:tcMar>
            <w:vAlign w:val="center"/>
          </w:tcPr>
          <w:p w14:paraId="512A15F3">
            <w:pPr>
              <w:spacing w:after="0" w:line="264" w:lineRule="auto"/>
              <w:jc w:val="center"/>
            </w:pPr>
            <w:r>
              <w:rPr>
                <w:rFonts w:ascii="Calibri" w:hAnsi="Calibri" w:eastAsia="宋体"/>
                <w:b w:val="0"/>
                <w:i w:val="0"/>
                <w:color w:val="1F2D3D"/>
                <w:sz w:val="18"/>
              </w:rPr>
              <w:t>测试</w:t>
            </w:r>
          </w:p>
        </w:tc>
        <w:tc>
          <w:tcPr>
            <w:tcW w:w="2880" w:type="dxa"/>
            <w:tcMar>
              <w:top w:w="90" w:type="dxa"/>
              <w:left w:w="120" w:type="dxa"/>
              <w:bottom w:w="90" w:type="dxa"/>
              <w:right w:w="120" w:type="dxa"/>
            </w:tcMar>
            <w:vAlign w:val="center"/>
          </w:tcPr>
          <w:p w14:paraId="0670451D">
            <w:pPr>
              <w:spacing w:after="0" w:line="264" w:lineRule="auto"/>
              <w:jc w:val="left"/>
            </w:pPr>
            <w:r>
              <w:rPr>
                <w:rFonts w:ascii="Calibri" w:hAnsi="Calibri" w:eastAsia="宋体"/>
                <w:b w:val="0"/>
                <w:i w:val="0"/>
                <w:color w:val="1F2D3D"/>
                <w:sz w:val="18"/>
              </w:rPr>
              <w:t>1226</w:t>
            </w:r>
          </w:p>
        </w:tc>
        <w:tc>
          <w:tcPr>
            <w:tcW w:w="1800" w:type="dxa"/>
            <w:tcMar>
              <w:top w:w="90" w:type="dxa"/>
              <w:left w:w="120" w:type="dxa"/>
              <w:bottom w:w="90" w:type="dxa"/>
              <w:right w:w="120" w:type="dxa"/>
            </w:tcMar>
            <w:vAlign w:val="center"/>
          </w:tcPr>
          <w:p w14:paraId="1AD19C18">
            <w:pPr>
              <w:spacing w:after="0" w:line="264" w:lineRule="auto"/>
              <w:jc w:val="left"/>
            </w:pPr>
            <w:r>
              <w:rPr>
                <w:rFonts w:ascii="Calibri" w:hAnsi="Calibri" w:eastAsia="宋体"/>
                <w:b w:val="0"/>
                <w:i w:val="0"/>
                <w:color w:val="1F2D3D"/>
                <w:sz w:val="18"/>
              </w:rPr>
              <w:t>18,510</w:t>
            </w:r>
          </w:p>
        </w:tc>
        <w:tc>
          <w:tcPr>
            <w:tcW w:w="3240" w:type="dxa"/>
            <w:tcMar>
              <w:top w:w="90" w:type="dxa"/>
              <w:left w:w="120" w:type="dxa"/>
              <w:bottom w:w="90" w:type="dxa"/>
              <w:right w:w="120" w:type="dxa"/>
            </w:tcMar>
            <w:vAlign w:val="center"/>
          </w:tcPr>
          <w:p w14:paraId="11F8CDC2">
            <w:pPr>
              <w:spacing w:after="0" w:line="264" w:lineRule="auto"/>
              <w:jc w:val="left"/>
            </w:pPr>
            <w:r>
              <w:rPr>
                <w:rFonts w:ascii="Calibri" w:hAnsi="Calibri" w:eastAsia="宋体"/>
                <w:b w:val="0"/>
                <w:i w:val="0"/>
                <w:color w:val="1F2D3D"/>
                <w:sz w:val="18"/>
              </w:rPr>
              <w:t>一次独立冷却试验</w:t>
            </w:r>
          </w:p>
        </w:tc>
      </w:tr>
    </w:tbl>
    <w:p w14:paraId="55182C50">
      <w:pPr>
        <w:spacing w:before="80" w:after="120"/>
      </w:pPr>
      <w:r>
        <w:rPr>
          <w:rFonts w:ascii="Calibri" w:hAnsi="Calibri" w:eastAsia="宋体"/>
          <w:b w:val="0"/>
          <w:i w:val="0"/>
          <w:color w:val="5F6973"/>
          <w:sz w:val="17"/>
        </w:rPr>
        <w:t>注：记录数来自当前 pkl 文件；序列化后样本数略小。源文件年份须由作者确认。</w:t>
      </w:r>
    </w:p>
    <w:p w14:paraId="2FA1CE00">
      <w:pPr>
        <w:pBdr>
          <w:left w:val="single" w:color="C00000" w:sz="18" w:space="5"/>
        </w:pBdr>
        <w:shd w:val="clear" w:fill="FDE9E7"/>
        <w:spacing w:before="80" w:after="140" w:line="276" w:lineRule="auto"/>
        <w:ind w:left="115" w:right="115"/>
      </w:pPr>
      <w:r>
        <w:rPr>
          <w:rFonts w:ascii="Calibri" w:hAnsi="Calibri" w:eastAsia="宋体"/>
          <w:b/>
          <w:i w:val="0"/>
          <w:color w:val="C00000"/>
          <w:sz w:val="20"/>
        </w:rPr>
        <w:t xml:space="preserve">【投稿前必须补充】 </w:t>
      </w:r>
      <w:r>
        <w:rPr>
          <w:rFonts w:ascii="Calibri" w:hAnsi="Calibri" w:eastAsia="宋体"/>
          <w:b w:val="0"/>
          <w:i w:val="0"/>
          <w:color w:val="C00000"/>
          <w:sz w:val="20"/>
        </w:rPr>
        <w:t>训练日期与原始批次：项目综述列出 2025-11-30、2026-01-18、2026-04-03、2025-05-01 四次训练数据，而当前 processed_data 仅含 0118、0403、0501 三个源组，未见 1130。请确认年份、第四批数据是否遗漏及最终纳入规则。</w:t>
      </w:r>
    </w:p>
    <w:p w14:paraId="0665B1BF">
      <w:pPr>
        <w:pBdr>
          <w:left w:val="single" w:color="0070C0" w:sz="18" w:space="5"/>
        </w:pBdr>
        <w:shd w:val="clear" w:fill="EAF2F8"/>
        <w:spacing w:before="80" w:after="140" w:line="276" w:lineRule="auto"/>
        <w:ind w:left="115" w:right="115"/>
      </w:pPr>
      <w:r>
        <w:rPr>
          <w:rFonts w:ascii="Calibri" w:hAnsi="Calibri" w:eastAsia="宋体"/>
          <w:b/>
          <w:i w:val="0"/>
          <w:color w:val="0070C0"/>
          <w:sz w:val="20"/>
        </w:rPr>
        <w:t xml:space="preserve">【图表占位】 </w:t>
      </w:r>
      <w:r>
        <w:rPr>
          <w:rFonts w:ascii="Calibri" w:hAnsi="Calibri" w:eastAsia="宋体"/>
          <w:b w:val="0"/>
          <w:i w:val="0"/>
          <w:color w:val="0070C0"/>
          <w:sz w:val="20"/>
        </w:rPr>
        <w:t>图 2 数据覆盖与集合划分：按独立冷却批次绘制 TE8353–真实时间曲线，并用颜色标注训练/验证/测试；同时给出温区、阀门开度和降温速率的分布。横轴使用分钟或小时，不再使用无量纲 Time Steps。</w:t>
      </w:r>
    </w:p>
    <w:p w14:paraId="2248A899">
      <w:pPr>
        <w:pStyle w:val="4"/>
        <w:keepNext/>
        <w:keepLines/>
      </w:pPr>
      <w:r>
        <w:t>3.2 清洗与标准化</w:t>
      </w:r>
    </w:p>
    <w:p w14:paraId="1EC75AB8">
      <w:pPr>
        <w:spacing w:before="0" w:after="160" w:line="320" w:lineRule="auto"/>
        <w:ind w:firstLine="403"/>
        <w:jc w:val="both"/>
      </w:pPr>
      <w:r>
        <w:rPr>
          <w:rFonts w:ascii="Calibri" w:hAnsi="Calibri" w:eastAsia="宋体"/>
          <w:b w:val="0"/>
          <w:i w:val="0"/>
          <w:color w:val="1F2D3D"/>
          <w:sz w:val="21"/>
        </w:rPr>
        <w:t>对温度序列先进行中值滤波以抑制孤立飞点，再采用 Savitzky–Golay 滤波保持局部斜率与转折信息[12]。目标 TE8353 使用 9 点中值核与 15 点、二阶 S–G 窗；一般温度通道采用相同设置，压力、流量和阀门通道当前采用 5 点窗口。标签在滤波后通过负向移位 H 步构造。输入与增量标签分别采用 StandardScaler 标准化。</w:t>
      </w:r>
    </w:p>
    <w:p w14:paraId="4B5C8495">
      <w:pPr>
        <w:pBdr>
          <w:left w:val="single" w:color="C00000" w:sz="18" w:space="5"/>
        </w:pBdr>
        <w:shd w:val="clear" w:fill="FDE9E7"/>
        <w:spacing w:before="80" w:after="140" w:line="276" w:lineRule="auto"/>
        <w:ind w:left="115" w:right="115"/>
      </w:pPr>
      <w:r>
        <w:rPr>
          <w:rFonts w:ascii="Calibri" w:hAnsi="Calibri" w:eastAsia="宋体"/>
          <w:b/>
          <w:i w:val="0"/>
          <w:color w:val="C00000"/>
          <w:sz w:val="20"/>
        </w:rPr>
        <w:t xml:space="preserve">【清洗逻辑必须修正】 </w:t>
      </w:r>
      <w:r>
        <w:rPr>
          <w:rFonts w:ascii="Calibri" w:hAnsi="Calibri" w:eastAsia="宋体"/>
          <w:b w:val="0"/>
          <w:i w:val="0"/>
          <w:color w:val="C00000"/>
          <w:sz w:val="20"/>
        </w:rPr>
        <w:t>当前通用 add_numeric_col 会先将所有数值 0 替换为 NaN，再前向填充。对温度绝对零点这可能合理，但阀门 0% 是合法“全关”状态，流量/压差的 0 也可能具有物理含义。投稿前应按传感器类型定义缺失规则，保留合法零值，并重建事件掩码与全部训练结果。</w:t>
      </w:r>
    </w:p>
    <w:p w14:paraId="1E40651E">
      <w:pPr>
        <w:pBdr>
          <w:left w:val="single" w:color="C00000" w:sz="18" w:space="5"/>
        </w:pBdr>
        <w:shd w:val="clear" w:fill="FDE9E7"/>
        <w:spacing w:before="80" w:after="140" w:line="276" w:lineRule="auto"/>
        <w:ind w:left="115" w:right="115"/>
      </w:pPr>
      <w:r>
        <w:rPr>
          <w:rFonts w:ascii="Calibri" w:hAnsi="Calibri" w:eastAsia="宋体"/>
          <w:b/>
          <w:i w:val="0"/>
          <w:color w:val="C00000"/>
          <w:sz w:val="20"/>
        </w:rPr>
        <w:t xml:space="preserve">【验证泄漏必须修正】 </w:t>
      </w:r>
      <w:r>
        <w:rPr>
          <w:rFonts w:ascii="Calibri" w:hAnsi="Calibri" w:eastAsia="宋体"/>
          <w:b w:val="0"/>
          <w:i w:val="0"/>
          <w:color w:val="C00000"/>
          <w:sz w:val="20"/>
        </w:rPr>
        <w:t>当前 StandardScaler 在全部训练 pkl（含 0501 验证组）上拟合后才分组，且标签缩放器使用了验证标签统计量。严格实验应先划分独立源组，仅在参数更新组拟合 scaler，再变换验证与测试组。</w:t>
      </w:r>
    </w:p>
    <w:p w14:paraId="0F2C6388">
      <w:pPr>
        <w:spacing w:before="0" w:after="160" w:line="320" w:lineRule="auto"/>
        <w:ind w:firstLine="403"/>
        <w:jc w:val="both"/>
      </w:pPr>
      <w:r>
        <w:rPr>
          <w:rFonts w:ascii="Calibri" w:hAnsi="Calibri" w:eastAsia="宋体"/>
          <w:b w:val="0"/>
          <w:i w:val="0"/>
          <w:color w:val="1F2D3D"/>
          <w:sz w:val="21"/>
        </w:rPr>
        <w:t>项目综述指出，扩增包含温度整体偏移 ±0.2 K 与 0.05 标准差高斯噪声；但本次提供的预处理脚本只读取已扩增文件，未包含扩增生成逻辑。为保证可重复性，最终稿应给出扩增概率、作用通道、随机种子、先扩增后滤波或先滤波后扩增的顺序，并确保扩增副本始终与原批次同组。</w:t>
      </w:r>
    </w:p>
    <w:p w14:paraId="02B1FED0">
      <w:pPr>
        <w:pStyle w:val="4"/>
        <w:keepNext/>
        <w:keepLines/>
      </w:pPr>
      <w:r>
        <w:t>3.3 输入特征与物理衍生量</w:t>
      </w:r>
    </w:p>
    <w:p w14:paraId="635BC7E0">
      <w:pPr>
        <w:spacing w:before="0" w:after="160" w:line="320" w:lineRule="auto"/>
        <w:ind w:firstLine="403"/>
        <w:jc w:val="both"/>
      </w:pPr>
      <w:r>
        <w:rPr>
          <w:rFonts w:ascii="Calibri" w:hAnsi="Calibri" w:eastAsia="宋体"/>
          <w:b w:val="0"/>
          <w:i w:val="0"/>
          <w:color w:val="1F2D3D"/>
          <w:sz w:val="21"/>
        </w:rPr>
        <w:t>当前 GRU-ODE 使用 32 个输入特征，包括 TE8353、TE8310、TE8352、A/B 管温度、FT8351、PT8310/PT8351/PT8352、若干阀门开度、CV8310 差分与比例、伪质量流量、伪冷量、TE8353−TE8310 温差以及 8351 支路真实质量流量和冷量。TE8308、TE8309、PT8390、PT8391 被排除；TE8351 原始值不作为 GRU-ODE 输入，仅用于下界损失。</w:t>
      </w:r>
    </w:p>
    <w:p w14:paraId="443870A2">
      <w:pPr>
        <w:spacing w:before="0" w:after="160" w:line="320" w:lineRule="auto"/>
        <w:ind w:firstLine="403"/>
        <w:jc w:val="both"/>
      </w:pPr>
      <w:r>
        <w:rPr>
          <w:rFonts w:ascii="Calibri" w:hAnsi="Calibri" w:eastAsia="宋体"/>
          <w:b w:val="0"/>
          <w:i w:val="0"/>
          <w:color w:val="1F2D3D"/>
          <w:sz w:val="21"/>
        </w:rPr>
        <w:t>对于缺少流量计的 G 管入口，代码依据节流元件流量与开度及密度平方根的定性关系构造代理量。记 v_8300、v_8313 为阀门开度，ρ_8310 与 h_8310 为 CoolProp 计算的氦密度和比焓[13]，则</w:t>
      </w:r>
    </w:p>
    <w:p w14:paraId="2791C08B">
      <w:pPr>
        <w:keepLines/>
        <w:spacing w:before="80" w:after="120"/>
        <w:jc w:val="center"/>
      </w:pPr>
      <w:r>
        <w:rPr>
          <w:rFonts w:ascii="Cambria Math" w:hAnsi="Cambria Math" w:eastAsia="Cambria Math"/>
          <w:b w:val="0"/>
          <w:i w:val="0"/>
          <w:color w:val="1F2D3D"/>
          <w:sz w:val="21"/>
        </w:rPr>
        <w:t>m̃_G = (v_8300 + v_8313) √ρ_8310,    (2)</w:t>
      </w:r>
    </w:p>
    <w:p w14:paraId="5E611199">
      <w:pPr>
        <w:keepLines/>
        <w:spacing w:before="80" w:after="120"/>
        <w:jc w:val="center"/>
      </w:pPr>
      <w:r>
        <w:rPr>
          <w:rFonts w:ascii="Cambria Math" w:hAnsi="Cambria Math" w:eastAsia="Cambria Math"/>
          <w:b w:val="0"/>
          <w:i w:val="0"/>
          <w:color w:val="1F2D3D"/>
          <w:sz w:val="21"/>
        </w:rPr>
        <w:t>Q̃_G = m̃_G h_8310.    (3)</w:t>
      </w:r>
    </w:p>
    <w:p w14:paraId="768F0359">
      <w:pPr>
        <w:spacing w:before="0" w:after="160" w:line="320" w:lineRule="auto"/>
        <w:ind w:firstLine="403"/>
        <w:jc w:val="both"/>
      </w:pPr>
      <w:r>
        <w:rPr>
          <w:rFonts w:ascii="Calibri" w:hAnsi="Calibri" w:eastAsia="宋体"/>
          <w:b w:val="0"/>
          <w:i w:val="0"/>
          <w:color w:val="1F2D3D"/>
          <w:sz w:val="21"/>
        </w:rPr>
        <w:t>CV8310 所在支路的分流比例及对应冷量为</w:t>
      </w:r>
    </w:p>
    <w:p w14:paraId="61A8F0EE">
      <w:pPr>
        <w:keepLines/>
        <w:spacing w:before="80" w:after="120"/>
        <w:jc w:val="center"/>
      </w:pPr>
      <w:r>
        <w:rPr>
          <w:rFonts w:ascii="Cambria Math" w:hAnsi="Cambria Math" w:eastAsia="Cambria Math"/>
          <w:b w:val="0"/>
          <w:i w:val="0"/>
          <w:color w:val="1F2D3D"/>
          <w:sz w:val="21"/>
        </w:rPr>
        <w:t>r_8310 = v_8310/(v_8310+v_8311+v_8312+ε),    Q̃_8310 = r_8310 Q̃_G.    (4)</w:t>
      </w:r>
    </w:p>
    <w:p w14:paraId="3C1C8FCC">
      <w:pPr>
        <w:spacing w:before="0" w:after="160" w:line="320" w:lineRule="auto"/>
        <w:ind w:firstLine="403"/>
        <w:jc w:val="both"/>
      </w:pPr>
      <w:r>
        <w:rPr>
          <w:rFonts w:ascii="Calibri" w:hAnsi="Calibri" w:eastAsia="宋体"/>
          <w:b w:val="0"/>
          <w:i w:val="0"/>
          <w:color w:val="1F2D3D"/>
          <w:sz w:val="21"/>
        </w:rPr>
        <w:t>式中比例常数、阀门流量系数和压差未显式建模，因此 m̃ 与 Q̃ 是提供相对冷却强度的代理特征，不应直接以 kg·s⁻¹ 或 W 报告。对于具有 FT8351 的支路，代码使用 FT8351×ρ_8351 构造质量流量，再乘 h_8351 得到冷量特征；最终稿需确认 FT8351 原始量是否已为质量流量，避免重复乘密度。</w:t>
      </w:r>
    </w:p>
    <w:p w14:paraId="65F6784A">
      <w:pPr>
        <w:pBdr>
          <w:left w:val="single" w:color="C00000" w:sz="18" w:space="5"/>
        </w:pBdr>
        <w:shd w:val="clear" w:fill="FDE9E7"/>
        <w:spacing w:before="80" w:after="140" w:line="276" w:lineRule="auto"/>
        <w:ind w:left="115" w:right="115"/>
      </w:pPr>
      <w:r>
        <w:rPr>
          <w:rFonts w:ascii="Calibri" w:hAnsi="Calibri" w:eastAsia="宋体"/>
          <w:b/>
          <w:i w:val="0"/>
          <w:color w:val="C00000"/>
          <w:sz w:val="20"/>
        </w:rPr>
        <w:t xml:space="preserve">【投稿前必须补充】 </w:t>
      </w:r>
      <w:r>
        <w:rPr>
          <w:rFonts w:ascii="Calibri" w:hAnsi="Calibri" w:eastAsia="宋体"/>
          <w:b w:val="0"/>
          <w:i w:val="0"/>
          <w:color w:val="C00000"/>
          <w:sz w:val="20"/>
        </w:rPr>
        <w:t>表 2 变量说明与单位：逐项列出 32 个 GRU-ODE 输入、传感器位置、单位、物理类型、滤波规则、是否可控、是否用于 ODE 控制向量。尤其确认压力单位（代码按 bar×10⁵ Pa 送入 CoolProp）、FT8351 单位及各阀门开度范围。</w:t>
      </w:r>
    </w:p>
    <w:p w14:paraId="69BC1E5F">
      <w:pPr>
        <w:pStyle w:val="3"/>
        <w:keepNext/>
        <w:keepLines/>
      </w:pPr>
      <w:r>
        <w:t>4. 物理约束注意力 GRU-ODE</w:t>
      </w:r>
    </w:p>
    <w:p w14:paraId="12E32D98">
      <w:pPr>
        <w:pStyle w:val="4"/>
        <w:keepNext/>
        <w:keepLines/>
      </w:pPr>
      <w:r>
        <w:t>4.1 历史序列编码</w:t>
      </w:r>
    </w:p>
    <w:p w14:paraId="55C122BC">
      <w:pPr>
        <w:spacing w:before="0" w:after="160" w:line="320" w:lineRule="auto"/>
        <w:ind w:firstLine="403"/>
        <w:jc w:val="both"/>
      </w:pPr>
      <w:r>
        <w:rPr>
          <w:rFonts w:ascii="Calibri" w:hAnsi="Calibri" w:eastAsia="宋体"/>
          <w:b w:val="0"/>
          <w:i w:val="0"/>
          <w:color w:val="1F2D3D"/>
          <w:sz w:val="21"/>
        </w:rPr>
        <w:t>给定标准化输入 x_k，GRU 的重置门 r_k、更新门 z_k、候选状态 h̃_k 与隐藏状态 h_k 写为</w:t>
      </w:r>
    </w:p>
    <w:p w14:paraId="0DC76187">
      <w:pPr>
        <w:keepLines/>
        <w:spacing w:before="80" w:after="120"/>
        <w:jc w:val="center"/>
      </w:pPr>
      <w:r>
        <w:rPr>
          <w:rFonts w:ascii="Cambria Math" w:hAnsi="Cambria Math" w:eastAsia="Cambria Math"/>
          <w:b w:val="0"/>
          <w:i w:val="0"/>
          <w:color w:val="1F2D3D"/>
          <w:sz w:val="21"/>
        </w:rPr>
        <w:t>r_k = σ(W_r x_k + U_r h_(k−1) + b_r),    (5)</w:t>
      </w:r>
    </w:p>
    <w:p w14:paraId="5D0DCEF2">
      <w:pPr>
        <w:keepLines/>
        <w:spacing w:before="80" w:after="120"/>
        <w:jc w:val="center"/>
      </w:pPr>
      <w:r>
        <w:rPr>
          <w:rFonts w:ascii="Cambria Math" w:hAnsi="Cambria Math" w:eastAsia="Cambria Math"/>
          <w:b w:val="0"/>
          <w:i w:val="0"/>
          <w:color w:val="1F2D3D"/>
          <w:sz w:val="21"/>
        </w:rPr>
        <w:t>z_k = σ(W_z x_k + U_z h_(k−1) + b_z),    (6)</w:t>
      </w:r>
    </w:p>
    <w:p w14:paraId="6748BEF3">
      <w:pPr>
        <w:keepLines/>
        <w:spacing w:before="80" w:after="120"/>
        <w:jc w:val="center"/>
      </w:pPr>
      <w:r>
        <w:rPr>
          <w:rFonts w:ascii="Cambria Math" w:hAnsi="Cambria Math" w:eastAsia="Cambria Math"/>
          <w:b w:val="0"/>
          <w:i w:val="0"/>
          <w:color w:val="1F2D3D"/>
          <w:sz w:val="21"/>
        </w:rPr>
        <w:t>h̃_k = tanh(W_h x_k + U_h(r_k⊙h_(k−1)) + b_h),    (7)</w:t>
      </w:r>
    </w:p>
    <w:p w14:paraId="63B3DDCD">
      <w:pPr>
        <w:keepLines/>
        <w:spacing w:before="80" w:after="120"/>
        <w:jc w:val="center"/>
      </w:pPr>
      <w:r>
        <w:rPr>
          <w:rFonts w:ascii="Cambria Math" w:hAnsi="Cambria Math" w:eastAsia="Cambria Math"/>
          <w:b w:val="0"/>
          <w:i w:val="0"/>
          <w:color w:val="1F2D3D"/>
          <w:sz w:val="21"/>
        </w:rPr>
        <w:t>h_k = z_k⊙h_(k−1) + (1−z_k)⊙h̃_k.    (8)</w:t>
      </w:r>
    </w:p>
    <w:p w14:paraId="1F0C8572">
      <w:pPr>
        <w:spacing w:before="0" w:after="160" w:line="320" w:lineRule="auto"/>
        <w:ind w:firstLine="403"/>
        <w:jc w:val="both"/>
      </w:pPr>
      <w:r>
        <w:rPr>
          <w:rFonts w:ascii="Calibri" w:hAnsi="Calibri" w:eastAsia="宋体"/>
          <w:b w:val="0"/>
          <w:i w:val="0"/>
          <w:color w:val="1F2D3D"/>
          <w:sz w:val="21"/>
        </w:rPr>
        <w:t>本文采用两层、每层 128 个隐藏单元的 GRU，层间 dropout 为 0.2。双层编码在保持毫秒级推理潜力的同时，从 60 点历史窗口中提取管路热惯性、阀门动作和工况阶段信息。</w:t>
      </w:r>
    </w:p>
    <w:p w14:paraId="1F17E157">
      <w:pPr>
        <w:pStyle w:val="4"/>
        <w:keepNext/>
        <w:keepLines/>
      </w:pPr>
      <w:r>
        <w:t>4.2 阀门事件先验引导的时间注意力</w:t>
      </w:r>
    </w:p>
    <w:p w14:paraId="2C90E38F">
      <w:pPr>
        <w:spacing w:before="0" w:after="160" w:line="320" w:lineRule="auto"/>
        <w:ind w:firstLine="403"/>
        <w:jc w:val="both"/>
      </w:pPr>
      <w:r>
        <w:rPr>
          <w:rFonts w:ascii="Calibri" w:hAnsi="Calibri" w:eastAsia="宋体"/>
          <w:b w:val="0"/>
          <w:i w:val="0"/>
          <w:color w:val="1F2D3D"/>
          <w:sz w:val="21"/>
        </w:rPr>
        <w:t>当任一主要阀门相邻采样点开度变化绝对值超过 0.05 时，事件掩码 m_k 取 1，否则取 0。注意力打分及上下文向量为</w:t>
      </w:r>
    </w:p>
    <w:p w14:paraId="66165616">
      <w:pPr>
        <w:keepLines/>
        <w:spacing w:before="80" w:after="120"/>
        <w:jc w:val="center"/>
      </w:pPr>
      <w:r>
        <w:rPr>
          <w:rFonts w:ascii="Cambria Math" w:hAnsi="Cambria Math" w:eastAsia="Cambria Math"/>
          <w:b w:val="0"/>
          <w:i w:val="0"/>
          <w:color w:val="1F2D3D"/>
          <w:sz w:val="21"/>
        </w:rPr>
        <w:t>e_k = tanh(w_aᵀh_k + b_k) + βm_k,    (9)</w:t>
      </w:r>
    </w:p>
    <w:p w14:paraId="4347E503">
      <w:pPr>
        <w:keepLines/>
        <w:spacing w:before="80" w:after="120"/>
        <w:jc w:val="center"/>
      </w:pPr>
      <w:r>
        <w:rPr>
          <w:rFonts w:ascii="Cambria Math" w:hAnsi="Cambria Math" w:eastAsia="Cambria Math"/>
          <w:b w:val="0"/>
          <w:i w:val="0"/>
          <w:color w:val="1F2D3D"/>
          <w:sz w:val="21"/>
        </w:rPr>
        <w:t>α_k = exp(e_k)/Σ_j exp(e_j),    c = Σ_k α_k h_k.    (10)</w:t>
      </w:r>
    </w:p>
    <w:p w14:paraId="1DA77023">
      <w:pPr>
        <w:spacing w:before="0" w:after="160" w:line="320" w:lineRule="auto"/>
        <w:ind w:firstLine="403"/>
        <w:jc w:val="center"/>
      </w:pPr>
      <w:r>
        <w:rPr>
          <w:rFonts w:ascii="Calibri" w:hAnsi="Calibri" w:eastAsia="宋体"/>
          <w:b w:val="0"/>
          <w:i w:val="0"/>
          <w:color w:val="1F2D3D"/>
          <w:sz w:val="21"/>
        </w:rPr>
        <w:t>其中 β 为可学习事件增益。当前权重中 β 在 GRU 与 GRU-ODE 中分别约为 1.885 和 0.214，均为正值，说明模型在现有训练下确实提高了事件点的注意力。但 β 未施加非负参数化，最终实验应报告其跨随机种子的符号与分布，并以注意力热图验证事件前后的权重变化。</w:t>
      </w:r>
    </w:p>
    <w:p w14:paraId="187BFB4B">
      <w:pPr>
        <w:pBdr>
          <w:left w:val="single" w:color="0070C0" w:sz="18" w:space="5"/>
        </w:pBdr>
        <w:shd w:val="clear" w:fill="EAF2F8"/>
        <w:spacing w:before="80" w:after="140" w:line="276" w:lineRule="auto"/>
        <w:ind w:left="115" w:right="115"/>
      </w:pPr>
      <w:r>
        <w:rPr>
          <w:rFonts w:ascii="Calibri" w:hAnsi="Calibri" w:eastAsia="宋体"/>
          <w:b/>
          <w:i w:val="0"/>
          <w:color w:val="0070C0"/>
          <w:sz w:val="20"/>
        </w:rPr>
        <w:t xml:space="preserve">【图表占位】 </w:t>
      </w:r>
      <w:r>
        <w:rPr>
          <w:rFonts w:ascii="Calibri" w:hAnsi="Calibri" w:eastAsia="宋体"/>
          <w:b w:val="0"/>
          <w:i w:val="0"/>
          <w:color w:val="0070C0"/>
          <w:sz w:val="20"/>
        </w:rPr>
        <w:t>图 3 模型架构：绘制 60×d 历史窗口、双层 GRU、事件先验注意力、32 维 z₀、10 维控制 u、神经 ODE、10 步 RK4 与 ΔT 输出。需明确 ODE 时间为归一化潜时间，不得标成真实 600 s 轨迹。</w:t>
      </w:r>
    </w:p>
    <w:p w14:paraId="12F25A84">
      <w:pPr>
        <w:pStyle w:val="4"/>
        <w:keepNext/>
        <w:keepLines/>
      </w:pPr>
      <w:r>
        <w:t>4.3 受控潜变量 ODE 解码器</w:t>
      </w:r>
    </w:p>
    <w:p w14:paraId="263E463A">
      <w:pPr>
        <w:spacing w:before="0" w:after="160" w:line="320" w:lineRule="auto"/>
        <w:ind w:firstLine="403"/>
        <w:jc w:val="both"/>
      </w:pPr>
      <w:r>
        <w:rPr>
          <w:rFonts w:ascii="Calibri" w:hAnsi="Calibri" w:eastAsia="宋体"/>
          <w:b w:val="0"/>
          <w:i w:val="0"/>
          <w:color w:val="1F2D3D"/>
          <w:sz w:val="21"/>
        </w:rPr>
        <w:t>将注意力上下文投影到 32 维潜在初态 z(0)=W_zc+b_z。控制向量 u 取历史窗口最后时刻的 10 个通道：CV8310、CV8300、CV8313、CV8351、CV8310 比例、两项伪冷量、TE8310、PT8310 与 FT8351。在归一化潜时间 τ∈[0,1] 内，控制量保持分段常数，潜状态满足</w:t>
      </w:r>
    </w:p>
    <w:p w14:paraId="1DF9C2C9">
      <w:pPr>
        <w:keepLines/>
        <w:spacing w:before="80" w:after="120"/>
        <w:jc w:val="center"/>
      </w:pPr>
      <w:r>
        <w:rPr>
          <w:rFonts w:ascii="Cambria Math" w:hAnsi="Cambria Math" w:eastAsia="Cambria Math"/>
          <w:b w:val="0"/>
          <w:i w:val="0"/>
          <w:color w:val="1F2D3D"/>
          <w:sz w:val="21"/>
        </w:rPr>
        <w:t>dz(τ)/dτ = f_θ(z(τ),u),    z(0)=z₀,    (11)</w:t>
      </w:r>
    </w:p>
    <w:p w14:paraId="5EBDFA98">
      <w:pPr>
        <w:spacing w:before="0" w:after="160" w:line="320" w:lineRule="auto"/>
        <w:ind w:firstLine="403"/>
        <w:jc w:val="both"/>
      </w:pPr>
      <w:r>
        <w:rPr>
          <w:rFonts w:ascii="Calibri" w:hAnsi="Calibri" w:eastAsia="宋体"/>
          <w:b w:val="0"/>
          <w:i w:val="0"/>
          <w:color w:val="1F2D3D"/>
          <w:sz w:val="21"/>
        </w:rPr>
        <w:t>其中 f_θ 为两层 64 单元 tanh 多层感知机。积分终态 z(1) 经过 32 单元 ReLU 输出头得到标准化温度增量。数值积分采用 10 个固定步长的经典四阶 Runge–Kutta（RK4）：</w:t>
      </w:r>
    </w:p>
    <w:p w14:paraId="3708D915">
      <w:pPr>
        <w:keepLines/>
        <w:spacing w:before="80" w:after="120"/>
        <w:jc w:val="center"/>
      </w:pPr>
      <w:r>
        <w:rPr>
          <w:rFonts w:ascii="Cambria Math" w:hAnsi="Cambria Math" w:eastAsia="Cambria Math"/>
          <w:b w:val="0"/>
          <w:i w:val="0"/>
          <w:color w:val="1F2D3D"/>
          <w:sz w:val="21"/>
        </w:rPr>
        <w:t>k₁=f(z_n,u),  k₂=f(z_n+hk₁/2,u),  k₃=f(z_n+hk₂/2,u),  k₄=f(z_n+hk₃,u),    (12)</w:t>
      </w:r>
    </w:p>
    <w:p w14:paraId="360F5C2B">
      <w:pPr>
        <w:keepLines/>
        <w:spacing w:before="80" w:after="120"/>
        <w:jc w:val="center"/>
      </w:pPr>
      <w:r>
        <w:rPr>
          <w:rFonts w:ascii="Cambria Math" w:hAnsi="Cambria Math" w:eastAsia="Cambria Math"/>
          <w:b w:val="0"/>
          <w:i w:val="0"/>
          <w:color w:val="1F2D3D"/>
          <w:sz w:val="21"/>
        </w:rPr>
        <w:t>z_(n+1)=z_n+h(k₁+2k₂+2k₃+k₄)/6,    h=0.1.    (13)</w:t>
      </w:r>
    </w:p>
    <w:p w14:paraId="3ECC9908">
      <w:pPr>
        <w:spacing w:before="0" w:after="160" w:line="320" w:lineRule="auto"/>
        <w:ind w:firstLine="403"/>
        <w:jc w:val="both"/>
      </w:pPr>
      <w:r>
        <w:rPr>
          <w:rFonts w:ascii="Calibri" w:hAnsi="Calibri" w:eastAsia="宋体"/>
          <w:b w:val="0"/>
          <w:i w:val="0"/>
          <w:color w:val="1F2D3D"/>
          <w:sz w:val="21"/>
        </w:rPr>
        <w:t>这里的 ODE 更接近连续深度的潜变量解码器：它提供平滑、共享参数的状态变换，却没有直接使用 600 s 的物理时间尺度，也未显式输入未来阀门轨迹。若后续用于真正的 MPC，应把实际 Δt 和候选未来控制序列纳入动力学，并在多个预测节点解码温度，而非仅解码终点。</w:t>
      </w:r>
    </w:p>
    <w:p w14:paraId="39E66187">
      <w:pPr>
        <w:pStyle w:val="4"/>
        <w:keepNext/>
        <w:keepLines/>
      </w:pPr>
      <w:r>
        <w:t>4.4 联合损失与反事实物理约束</w:t>
      </w:r>
    </w:p>
    <w:p w14:paraId="3EF81CAF">
      <w:pPr>
        <w:spacing w:before="0" w:after="160" w:line="320" w:lineRule="auto"/>
        <w:ind w:firstLine="403"/>
        <w:jc w:val="both"/>
      </w:pPr>
      <w:r>
        <w:rPr>
          <w:rFonts w:ascii="Calibri" w:hAnsi="Calibri" w:eastAsia="宋体"/>
          <w:b w:val="0"/>
          <w:i w:val="0"/>
          <w:color w:val="1F2D3D"/>
          <w:sz w:val="21"/>
        </w:rPr>
        <w:t>监督项采用加权 Huber 损失，以降低异常残差的影响。温度变化超过 0.5 K 的样本权重至少为 5；代码还对序列数组头部 25% 与尾部 15% 的样本赋权 10。记 y_i 与 ŷ_i 为标准化增量标签和预测，则</w:t>
      </w:r>
    </w:p>
    <w:p w14:paraId="0A0484F9">
      <w:pPr>
        <w:keepLines/>
        <w:spacing w:before="80" w:after="120"/>
        <w:jc w:val="center"/>
      </w:pPr>
      <w:r>
        <w:rPr>
          <w:rFonts w:ascii="Cambria Math" w:hAnsi="Cambria Math" w:eastAsia="Cambria Math"/>
          <w:b w:val="0"/>
          <w:i w:val="0"/>
          <w:color w:val="1F2D3D"/>
          <w:sz w:val="21"/>
        </w:rPr>
        <w:t>L_sup = (1/N)Σ_i w_i·Huber(ŷ_i−y_i;δ=1).    (14)</w:t>
      </w:r>
    </w:p>
    <w:p w14:paraId="0CA15DD5">
      <w:pPr>
        <w:spacing w:before="0" w:after="160" w:line="320" w:lineRule="auto"/>
        <w:ind w:firstLine="403"/>
        <w:jc w:val="both"/>
      </w:pPr>
      <w:r>
        <w:rPr>
          <w:rFonts w:ascii="Calibri" w:hAnsi="Calibri" w:eastAsia="宋体"/>
          <w:b w:val="0"/>
          <w:i w:val="0"/>
          <w:color w:val="1F2D3D"/>
          <w:sz w:val="21"/>
        </w:rPr>
        <w:t>针对 CV8310、CV8300、CV8351，训练时将整个 60 点历史窗口的对应开度增加 5 个百分点并截断至 [0,100]，同时重算比例和伪冷量链，得到反事实样本 X_i^(v+)。降温阀开大后，预测温度增量不应变高，故</w:t>
      </w:r>
    </w:p>
    <w:p w14:paraId="4DAC7601">
      <w:pPr>
        <w:keepLines/>
        <w:spacing w:before="80" w:after="120"/>
        <w:jc w:val="center"/>
      </w:pPr>
      <w:r>
        <w:rPr>
          <w:rFonts w:ascii="Cambria Math" w:hAnsi="Cambria Math" w:eastAsia="Cambria Math"/>
          <w:b w:val="0"/>
          <w:i w:val="0"/>
          <w:color w:val="1F2D3D"/>
          <w:sz w:val="21"/>
        </w:rPr>
        <w:t>L_mono = (1/N)Σ_i Σ_(v∈V) ReLU[ΔT̂(X_i^(v+))−ΔT̂(X_i)].    (15)</w:t>
      </w:r>
    </w:p>
    <w:p w14:paraId="0457FD1C">
      <w:pPr>
        <w:spacing w:before="0" w:after="160" w:line="320" w:lineRule="auto"/>
        <w:ind w:firstLine="403"/>
        <w:jc w:val="both"/>
      </w:pPr>
      <w:r>
        <w:rPr>
          <w:rFonts w:ascii="Calibri" w:hAnsi="Calibri" w:eastAsia="宋体"/>
          <w:b w:val="0"/>
          <w:i w:val="0"/>
          <w:color w:val="1F2D3D"/>
          <w:sz w:val="21"/>
        </w:rPr>
        <w:t>以未来时刻的 TE8351 作为 TE8353 的软下界 T_lb，构造</w:t>
      </w:r>
    </w:p>
    <w:p w14:paraId="634B975F">
      <w:pPr>
        <w:keepLines/>
        <w:spacing w:before="80" w:after="120"/>
        <w:jc w:val="center"/>
      </w:pPr>
      <w:r>
        <w:rPr>
          <w:rFonts w:ascii="Cambria Math" w:hAnsi="Cambria Math" w:eastAsia="Cambria Math"/>
          <w:b w:val="0"/>
          <w:i w:val="0"/>
          <w:color w:val="1F2D3D"/>
          <w:sz w:val="21"/>
        </w:rPr>
        <w:t>L_lb = (1/N)Σ_i ReLU[T_lb,i−T̂_(t+H),i].    (16)</w:t>
      </w:r>
    </w:p>
    <w:p w14:paraId="4E05E315">
      <w:pPr>
        <w:keepLines/>
        <w:spacing w:before="80" w:after="120"/>
        <w:jc w:val="center"/>
      </w:pPr>
      <w:r>
        <w:rPr>
          <w:rFonts w:ascii="Cambria Math" w:hAnsi="Cambria Math" w:eastAsia="Cambria Math"/>
          <w:b w:val="0"/>
          <w:i w:val="0"/>
          <w:color w:val="1F2D3D"/>
          <w:sz w:val="21"/>
        </w:rPr>
        <w:t>L = L_sup + λ_mono L_mono + λ_lb L_lb,    (17)</w:t>
      </w:r>
    </w:p>
    <w:p w14:paraId="71FCFFD8">
      <w:pPr>
        <w:spacing w:before="0" w:after="160" w:line="320" w:lineRule="auto"/>
        <w:ind w:firstLine="403"/>
        <w:jc w:val="both"/>
      </w:pPr>
      <w:r>
        <w:rPr>
          <w:rFonts w:ascii="Calibri" w:hAnsi="Calibri" w:eastAsia="宋体"/>
          <w:b w:val="0"/>
          <w:i w:val="0"/>
          <w:color w:val="1F2D3D"/>
          <w:sz w:val="21"/>
        </w:rPr>
        <w:t>当前设置 λ_mono=1、λ_lb=0.1。式 (15) 只保证采样反事实对上的方向一致性，不构成整个控制域的全局单调性证明；式 (16) 的物理有效性依赖 TE8351 的位置及流向。此外，整窗加 5% 相当于改变过去 10 min 的历史，而不是从当前时刻施加未来控制动作。若目标是 MPC，应生成因果的未来控制反事实，并避免修改已经观测到的历史。</w:t>
      </w:r>
    </w:p>
    <w:p w14:paraId="6E334E3A">
      <w:pPr>
        <w:pBdr>
          <w:left w:val="single" w:color="C65911" w:sz="18" w:space="5"/>
        </w:pBdr>
        <w:shd w:val="clear" w:fill="FFF2CC"/>
        <w:spacing w:before="80" w:after="140" w:line="276" w:lineRule="auto"/>
        <w:ind w:left="115" w:right="115"/>
      </w:pPr>
      <w:r>
        <w:rPr>
          <w:rFonts w:ascii="Calibri" w:hAnsi="Calibri" w:eastAsia="宋体"/>
          <w:b/>
          <w:i w:val="0"/>
          <w:color w:val="C65911"/>
          <w:sz w:val="20"/>
        </w:rPr>
        <w:t xml:space="preserve">【样本权重建议重构】 </w:t>
      </w:r>
      <w:r>
        <w:rPr>
          <w:rFonts w:ascii="Calibri" w:hAnsi="Calibri" w:eastAsia="宋体"/>
          <w:b w:val="0"/>
          <w:i w:val="0"/>
          <w:color w:val="C65911"/>
          <w:sz w:val="20"/>
        </w:rPr>
        <w:t>当前“数组头 25%/尾 15%”加权依赖拼接顺序，不能保证每个冷却批次的高温段和低温段都被一致覆盖。建议按温区、|dT/dt|、阀门事件邻域和冷却阶段显式分层赋权。</w:t>
      </w:r>
    </w:p>
    <w:p w14:paraId="518F2FA2">
      <w:pPr>
        <w:pStyle w:val="4"/>
        <w:keepNext/>
        <w:keepLines/>
      </w:pPr>
      <w:r>
        <w:t>4.5 理论性质</w:t>
      </w:r>
    </w:p>
    <w:p w14:paraId="4A1DF574">
      <w:pPr>
        <w:spacing w:before="0" w:after="160" w:line="320" w:lineRule="auto"/>
        <w:ind w:firstLine="403"/>
        <w:jc w:val="both"/>
      </w:pPr>
      <w:r>
        <w:rPr>
          <w:rFonts w:ascii="Calibri" w:hAnsi="Calibri" w:eastAsia="宋体"/>
          <w:b w:val="0"/>
          <w:i w:val="0"/>
          <w:color w:val="1F2D3D"/>
          <w:sz w:val="21"/>
        </w:rPr>
        <w:t>以下分析沿用“明确假设—给出命题—证明界限”的控制理论写法[11]，但针对当前单终点 GRU-ODE 的真实结构，不引入未实现的多步 MPC 最优性条件。</w:t>
      </w:r>
    </w:p>
    <w:p w14:paraId="1F5AA520">
      <w:pPr>
        <w:spacing w:before="0" w:after="160" w:line="320" w:lineRule="auto"/>
        <w:jc w:val="both"/>
      </w:pPr>
      <w:r>
        <w:rPr>
          <w:rFonts w:ascii="Calibri" w:hAnsi="Calibri" w:eastAsia="宋体"/>
          <w:b/>
          <w:i w:val="0"/>
          <w:color w:val="1F2D3D"/>
          <w:sz w:val="21"/>
        </w:rPr>
        <w:t>假设 1（局部工作域与 Lipschitz 条件）。在由训练数据与允许阀门范围定义的紧集 Ω 上，向量场 f_θ(z,u) 关于 z、u 分别满足 Lipschitz 条件：</w:t>
      </w:r>
    </w:p>
    <w:p w14:paraId="25224C02">
      <w:pPr>
        <w:keepLines/>
        <w:spacing w:before="80" w:after="120"/>
        <w:jc w:val="center"/>
      </w:pPr>
      <w:r>
        <w:rPr>
          <w:rFonts w:ascii="Cambria Math" w:hAnsi="Cambria Math" w:eastAsia="Cambria Math"/>
          <w:b w:val="0"/>
          <w:i w:val="0"/>
          <w:color w:val="1F2D3D"/>
          <w:sz w:val="21"/>
        </w:rPr>
        <w:t>||f_θ(z₁,u₁)−f_θ(z₂,u₂)|| ≤ L_z||z₁−z₂|| + L_u||u₁−u₂||.    (18)</w:t>
      </w:r>
    </w:p>
    <w:p w14:paraId="7A0703FC">
      <w:pPr>
        <w:spacing w:before="0" w:after="160" w:line="320" w:lineRule="auto"/>
        <w:ind w:firstLine="403"/>
        <w:jc w:val="both"/>
      </w:pPr>
      <w:r>
        <w:rPr>
          <w:rFonts w:ascii="Calibri" w:hAnsi="Calibri" w:eastAsia="宋体"/>
          <w:b w:val="0"/>
          <w:i w:val="0"/>
          <w:color w:val="1F2D3D"/>
          <w:sz w:val="21"/>
        </w:rPr>
        <w:t>输出映射 g_ω 满足 ||g_ω(z₁)−g_ω(z₂)||≤L_g||z₁−z₂||。由于 tanh、ReLU 与有限权重线性层均为 Lipschitz 映射，该假设在有界权重与工作域内成立[6]。</w:t>
      </w:r>
    </w:p>
    <w:p w14:paraId="1C8F1DFC">
      <w:pPr>
        <w:spacing w:before="0" w:after="160" w:line="320" w:lineRule="auto"/>
        <w:jc w:val="both"/>
      </w:pPr>
      <w:r>
        <w:rPr>
          <w:rFonts w:ascii="Calibri" w:hAnsi="Calibri" w:eastAsia="宋体"/>
          <w:b/>
          <w:i w:val="0"/>
          <w:color w:val="1F2D3D"/>
          <w:sz w:val="21"/>
        </w:rPr>
        <w:t>命题 1（适定性与控制扰动敏感性）。在假设 1 下，式 (11) 对任意 z₀∈Ω 和有界分段连续控制 u 存在唯一解。对两组常值控制 u、ũ 及初态 z₀、z̃₀，在 τ∈[0,1] 上有</w:t>
      </w:r>
    </w:p>
    <w:p w14:paraId="49D830A4">
      <w:pPr>
        <w:keepLines/>
        <w:spacing w:before="80" w:after="120"/>
        <w:jc w:val="center"/>
      </w:pPr>
      <w:r>
        <w:rPr>
          <w:rFonts w:ascii="Cambria Math" w:hAnsi="Cambria Math" w:eastAsia="Cambria Math"/>
          <w:b w:val="0"/>
          <w:i w:val="0"/>
          <w:color w:val="1F2D3D"/>
          <w:sz w:val="21"/>
        </w:rPr>
        <w:t>||z(τ)−z̃(τ)|| ≤ exp(L_zτ)||z₀−z̃₀|| + [L_u/L_z][exp(L_zτ)−1]||u−ũ||,    (19)</w:t>
      </w:r>
    </w:p>
    <w:p w14:paraId="0DCDA7D3">
      <w:pPr>
        <w:spacing w:before="0" w:after="160" w:line="320" w:lineRule="auto"/>
        <w:ind w:firstLine="403"/>
        <w:jc w:val="both"/>
      </w:pPr>
      <w:r>
        <w:rPr>
          <w:rFonts w:ascii="Calibri" w:hAnsi="Calibri" w:eastAsia="宋体"/>
          <w:b w:val="0"/>
          <w:i w:val="0"/>
          <w:color w:val="1F2D3D"/>
          <w:sz w:val="21"/>
        </w:rPr>
        <w:t>当 L_z=0 时，第二项取 L_uτ||u−ũ||。相应输出满足</w:t>
      </w:r>
    </w:p>
    <w:p w14:paraId="6C16D72D">
      <w:pPr>
        <w:keepLines/>
        <w:spacing w:before="80" w:after="120"/>
        <w:jc w:val="center"/>
      </w:pPr>
      <w:r>
        <w:rPr>
          <w:rFonts w:ascii="Cambria Math" w:hAnsi="Cambria Math" w:eastAsia="Cambria Math"/>
          <w:b w:val="0"/>
          <w:i w:val="0"/>
          <w:color w:val="1F2D3D"/>
          <w:sz w:val="21"/>
        </w:rPr>
        <w:t>|ΔT̂−ΔT̃̂| ≤ L_g{exp(L_z)||z₀−z̃₀|| + [L_u/L_z][exp(L_z)−1]||u−ũ||}.    (20)</w:t>
      </w:r>
    </w:p>
    <w:p w14:paraId="6A94407E">
      <w:pPr>
        <w:spacing w:before="0" w:after="160" w:line="320" w:lineRule="auto"/>
        <w:ind w:firstLine="403"/>
        <w:jc w:val="both"/>
      </w:pPr>
      <w:r>
        <w:rPr>
          <w:rFonts w:ascii="Calibri" w:hAnsi="Calibri" w:eastAsia="宋体"/>
          <w:b w:val="0"/>
          <w:i/>
          <w:color w:val="1F2D3D"/>
          <w:sz w:val="21"/>
        </w:rPr>
        <w:t>证明。由 Picard–Lindelöf 定理，f_θ 对 z 的 Lipschitz 连续性保证初值问题解的存在唯一性[14]。令 e(τ)=z(τ)−z̃(τ)，由式 (18) 得 ||e(τ)||≤||e(0)||+∫₀^τ[L_z||e(s)||+L_u||u−ũ||]ds。应用 Grönwall 不等式即得式 (19)，再利用输出映射的 Lipschitz 条件得到式 (20)。证毕。</w:t>
      </w:r>
    </w:p>
    <w:p w14:paraId="5C11C3B1">
      <w:pPr>
        <w:spacing w:before="0" w:after="160" w:line="320" w:lineRule="auto"/>
        <w:ind w:firstLine="403"/>
        <w:jc w:val="both"/>
      </w:pPr>
      <w:r>
        <w:rPr>
          <w:rFonts w:ascii="Calibri" w:hAnsi="Calibri" w:eastAsia="宋体"/>
          <w:b w:val="0"/>
          <w:i w:val="0"/>
          <w:color w:val="1F2D3D"/>
          <w:sz w:val="21"/>
        </w:rPr>
        <w:t>命题 1 表明，连续潜变量结构本身不自动保证小扰动响应温和；上界取决于 L_z、L_u、L_g。这解释了现有反事实图中将阀门直接拉至 80% 时可能出现幅值过大的降温响应。投稿前可通过谱归一化、Jacobian 正则或控制域裁剪限制 Lipschitz 常数，并报告局部灵敏度。</w:t>
      </w:r>
    </w:p>
    <w:p w14:paraId="5660BD99">
      <w:pPr>
        <w:spacing w:before="0" w:after="160" w:line="320" w:lineRule="auto"/>
        <w:jc w:val="both"/>
      </w:pPr>
      <w:r>
        <w:rPr>
          <w:rFonts w:ascii="Calibri" w:hAnsi="Calibri" w:eastAsia="宋体"/>
          <w:b/>
          <w:i w:val="0"/>
          <w:color w:val="1F2D3D"/>
          <w:sz w:val="21"/>
        </w:rPr>
        <w:t>命题 2（RK4 离散误差）。若 f_θ 对 τ 具有足够阶连续导数，经典 RK4 在固定积分区间上的全局截断误差为 O(h⁴)[15]。当前 h=0.1；因此应通过 5、10、20、40 步积分的收敛实验确认 10 步是否已进入误差平台。</w:t>
      </w:r>
    </w:p>
    <w:p w14:paraId="1651A2BE">
      <w:pPr>
        <w:pStyle w:val="3"/>
        <w:keepNext/>
        <w:keepLines/>
      </w:pPr>
      <w:r>
        <w:t>5. 实验设计</w:t>
      </w:r>
    </w:p>
    <w:p w14:paraId="4FC84F73">
      <w:pPr>
        <w:pStyle w:val="4"/>
        <w:keepNext/>
        <w:keepLines/>
      </w:pPr>
      <w:r>
        <w:t>5.1 模型与训练设置</w:t>
      </w:r>
    </w:p>
    <w:tbl>
      <w:tblPr>
        <w:tblStyle w:val="32"/>
        <w:tblW w:w="9360" w:type="dxa"/>
        <w:tblInd w:w="120" w:type="dxa"/>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Layout w:type="fixed"/>
        <w:tblCellMar>
          <w:top w:w="0" w:type="dxa"/>
          <w:left w:w="108" w:type="dxa"/>
          <w:bottom w:w="0" w:type="dxa"/>
          <w:right w:w="108" w:type="dxa"/>
        </w:tblCellMar>
      </w:tblPr>
      <w:tblGrid>
        <w:gridCol w:w="3672"/>
        <w:gridCol w:w="2808"/>
        <w:gridCol w:w="2880"/>
      </w:tblGrid>
      <w:tr w14:paraId="0B2A0702">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rPr>
          <w:tblHeader/>
        </w:trPr>
        <w:tc>
          <w:tcPr>
            <w:tcW w:w="3672" w:type="dxa"/>
            <w:shd w:val="clear" w:color="auto" w:fill="F3F5F7"/>
            <w:tcMar>
              <w:top w:w="90" w:type="dxa"/>
              <w:left w:w="120" w:type="dxa"/>
              <w:bottom w:w="90" w:type="dxa"/>
              <w:right w:w="120" w:type="dxa"/>
            </w:tcMar>
            <w:vAlign w:val="center"/>
          </w:tcPr>
          <w:p w14:paraId="0EAA82CD">
            <w:pPr>
              <w:spacing w:after="0"/>
              <w:jc w:val="center"/>
            </w:pPr>
            <w:r>
              <w:rPr>
                <w:rFonts w:ascii="Calibri" w:hAnsi="Calibri" w:eastAsia="宋体"/>
                <w:b/>
                <w:i w:val="0"/>
                <w:color w:val="1F4E79"/>
                <w:sz w:val="18"/>
              </w:rPr>
              <w:t>项目</w:t>
            </w:r>
          </w:p>
        </w:tc>
        <w:tc>
          <w:tcPr>
            <w:tcW w:w="2808" w:type="dxa"/>
            <w:shd w:val="clear" w:color="auto" w:fill="F3F5F7"/>
            <w:tcMar>
              <w:top w:w="90" w:type="dxa"/>
              <w:left w:w="120" w:type="dxa"/>
              <w:bottom w:w="90" w:type="dxa"/>
              <w:right w:w="120" w:type="dxa"/>
            </w:tcMar>
            <w:vAlign w:val="center"/>
          </w:tcPr>
          <w:p w14:paraId="22D22A3B">
            <w:pPr>
              <w:spacing w:after="0"/>
              <w:jc w:val="center"/>
            </w:pPr>
            <w:r>
              <w:rPr>
                <w:rFonts w:ascii="Calibri" w:hAnsi="Calibri" w:eastAsia="宋体"/>
                <w:b/>
                <w:i w:val="0"/>
                <w:color w:val="1F4E79"/>
                <w:sz w:val="18"/>
              </w:rPr>
              <w:t>GRU 基线</w:t>
            </w:r>
          </w:p>
        </w:tc>
        <w:tc>
          <w:tcPr>
            <w:tcW w:w="2880" w:type="dxa"/>
            <w:shd w:val="clear" w:color="auto" w:fill="F3F5F7"/>
            <w:tcMar>
              <w:top w:w="90" w:type="dxa"/>
              <w:left w:w="120" w:type="dxa"/>
              <w:bottom w:w="90" w:type="dxa"/>
              <w:right w:w="120" w:type="dxa"/>
            </w:tcMar>
            <w:vAlign w:val="center"/>
          </w:tcPr>
          <w:p w14:paraId="42C539B6">
            <w:pPr>
              <w:spacing w:after="0"/>
              <w:jc w:val="center"/>
            </w:pPr>
            <w:r>
              <w:rPr>
                <w:rFonts w:ascii="Calibri" w:hAnsi="Calibri" w:eastAsia="宋体"/>
                <w:b/>
                <w:i w:val="0"/>
                <w:color w:val="1F4E79"/>
                <w:sz w:val="18"/>
              </w:rPr>
              <w:t>GRU-ODE</w:t>
            </w:r>
          </w:p>
        </w:tc>
      </w:tr>
      <w:tr w14:paraId="22E2210D">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3672" w:type="dxa"/>
            <w:tcMar>
              <w:top w:w="90" w:type="dxa"/>
              <w:left w:w="120" w:type="dxa"/>
              <w:bottom w:w="90" w:type="dxa"/>
              <w:right w:w="120" w:type="dxa"/>
            </w:tcMar>
            <w:vAlign w:val="center"/>
          </w:tcPr>
          <w:p w14:paraId="00F77C46">
            <w:pPr>
              <w:spacing w:after="0" w:line="264" w:lineRule="auto"/>
              <w:jc w:val="center"/>
            </w:pPr>
            <w:r>
              <w:rPr>
                <w:rFonts w:ascii="Calibri" w:hAnsi="Calibri" w:eastAsia="宋体"/>
                <w:b w:val="0"/>
                <w:i w:val="0"/>
                <w:color w:val="1F2D3D"/>
                <w:sz w:val="18"/>
              </w:rPr>
              <w:t>历史窗口 / 预测步长</w:t>
            </w:r>
          </w:p>
        </w:tc>
        <w:tc>
          <w:tcPr>
            <w:tcW w:w="2808" w:type="dxa"/>
            <w:tcMar>
              <w:top w:w="90" w:type="dxa"/>
              <w:left w:w="120" w:type="dxa"/>
              <w:bottom w:w="90" w:type="dxa"/>
              <w:right w:w="120" w:type="dxa"/>
            </w:tcMar>
            <w:vAlign w:val="center"/>
          </w:tcPr>
          <w:p w14:paraId="2CA71AAA">
            <w:pPr>
              <w:spacing w:after="0" w:line="264" w:lineRule="auto"/>
              <w:jc w:val="left"/>
            </w:pPr>
            <w:r>
              <w:rPr>
                <w:rFonts w:ascii="Calibri" w:hAnsi="Calibri" w:eastAsia="宋体"/>
                <w:b w:val="0"/>
                <w:i w:val="0"/>
                <w:color w:val="1F2D3D"/>
                <w:sz w:val="18"/>
              </w:rPr>
              <w:t>60 / 60</w:t>
            </w:r>
          </w:p>
        </w:tc>
        <w:tc>
          <w:tcPr>
            <w:tcW w:w="2880" w:type="dxa"/>
            <w:tcMar>
              <w:top w:w="90" w:type="dxa"/>
              <w:left w:w="120" w:type="dxa"/>
              <w:bottom w:w="90" w:type="dxa"/>
              <w:right w:w="120" w:type="dxa"/>
            </w:tcMar>
            <w:vAlign w:val="center"/>
          </w:tcPr>
          <w:p w14:paraId="11C5C584">
            <w:pPr>
              <w:spacing w:after="0" w:line="264" w:lineRule="auto"/>
              <w:jc w:val="left"/>
            </w:pPr>
            <w:r>
              <w:rPr>
                <w:rFonts w:ascii="Calibri" w:hAnsi="Calibri" w:eastAsia="宋体"/>
                <w:b w:val="0"/>
                <w:i w:val="0"/>
                <w:color w:val="1F2D3D"/>
                <w:sz w:val="18"/>
              </w:rPr>
              <w:t>60 / 60</w:t>
            </w:r>
          </w:p>
        </w:tc>
      </w:tr>
      <w:tr w14:paraId="255376A9">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3672" w:type="dxa"/>
            <w:tcMar>
              <w:top w:w="90" w:type="dxa"/>
              <w:left w:w="120" w:type="dxa"/>
              <w:bottom w:w="90" w:type="dxa"/>
              <w:right w:w="120" w:type="dxa"/>
            </w:tcMar>
            <w:vAlign w:val="center"/>
          </w:tcPr>
          <w:p w14:paraId="690E460A">
            <w:pPr>
              <w:spacing w:after="0" w:line="264" w:lineRule="auto"/>
              <w:jc w:val="center"/>
            </w:pPr>
            <w:r>
              <w:rPr>
                <w:rFonts w:ascii="Calibri" w:hAnsi="Calibri" w:eastAsia="宋体"/>
                <w:b w:val="0"/>
                <w:i w:val="0"/>
                <w:color w:val="1F2D3D"/>
                <w:sz w:val="18"/>
              </w:rPr>
              <w:t>输入特征数</w:t>
            </w:r>
          </w:p>
        </w:tc>
        <w:tc>
          <w:tcPr>
            <w:tcW w:w="2808" w:type="dxa"/>
            <w:tcMar>
              <w:top w:w="90" w:type="dxa"/>
              <w:left w:w="120" w:type="dxa"/>
              <w:bottom w:w="90" w:type="dxa"/>
              <w:right w:w="120" w:type="dxa"/>
            </w:tcMar>
            <w:vAlign w:val="center"/>
          </w:tcPr>
          <w:p w14:paraId="5B60E6CD">
            <w:pPr>
              <w:spacing w:after="0" w:line="264" w:lineRule="auto"/>
              <w:jc w:val="left"/>
            </w:pPr>
            <w:r>
              <w:rPr>
                <w:rFonts w:ascii="Calibri" w:hAnsi="Calibri" w:eastAsia="宋体"/>
                <w:b w:val="0"/>
                <w:i w:val="0"/>
                <w:color w:val="1F2D3D"/>
                <w:sz w:val="18"/>
              </w:rPr>
              <w:t>37</w:t>
            </w:r>
          </w:p>
        </w:tc>
        <w:tc>
          <w:tcPr>
            <w:tcW w:w="2880" w:type="dxa"/>
            <w:tcMar>
              <w:top w:w="90" w:type="dxa"/>
              <w:left w:w="120" w:type="dxa"/>
              <w:bottom w:w="90" w:type="dxa"/>
              <w:right w:w="120" w:type="dxa"/>
            </w:tcMar>
            <w:vAlign w:val="center"/>
          </w:tcPr>
          <w:p w14:paraId="23D56311">
            <w:pPr>
              <w:spacing w:after="0" w:line="264" w:lineRule="auto"/>
              <w:jc w:val="left"/>
            </w:pPr>
            <w:r>
              <w:rPr>
                <w:rFonts w:ascii="Calibri" w:hAnsi="Calibri" w:eastAsia="宋体"/>
                <w:b w:val="0"/>
                <w:i w:val="0"/>
                <w:color w:val="1F2D3D"/>
                <w:sz w:val="18"/>
              </w:rPr>
              <w:t>32</w:t>
            </w:r>
          </w:p>
        </w:tc>
      </w:tr>
      <w:tr w14:paraId="3E301092">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3672" w:type="dxa"/>
            <w:tcMar>
              <w:top w:w="90" w:type="dxa"/>
              <w:left w:w="120" w:type="dxa"/>
              <w:bottom w:w="90" w:type="dxa"/>
              <w:right w:w="120" w:type="dxa"/>
            </w:tcMar>
            <w:vAlign w:val="center"/>
          </w:tcPr>
          <w:p w14:paraId="36463C62">
            <w:pPr>
              <w:spacing w:after="0" w:line="264" w:lineRule="auto"/>
              <w:jc w:val="center"/>
            </w:pPr>
            <w:r>
              <w:rPr>
                <w:rFonts w:ascii="Calibri" w:hAnsi="Calibri" w:eastAsia="宋体"/>
                <w:b w:val="0"/>
                <w:i w:val="0"/>
                <w:color w:val="1F2D3D"/>
                <w:sz w:val="18"/>
              </w:rPr>
              <w:t>GRU 隐藏单元 / 层数</w:t>
            </w:r>
          </w:p>
        </w:tc>
        <w:tc>
          <w:tcPr>
            <w:tcW w:w="2808" w:type="dxa"/>
            <w:tcMar>
              <w:top w:w="90" w:type="dxa"/>
              <w:left w:w="120" w:type="dxa"/>
              <w:bottom w:w="90" w:type="dxa"/>
              <w:right w:w="120" w:type="dxa"/>
            </w:tcMar>
            <w:vAlign w:val="center"/>
          </w:tcPr>
          <w:p w14:paraId="29009AD9">
            <w:pPr>
              <w:spacing w:after="0" w:line="264" w:lineRule="auto"/>
              <w:jc w:val="left"/>
            </w:pPr>
            <w:r>
              <w:rPr>
                <w:rFonts w:ascii="Calibri" w:hAnsi="Calibri" w:eastAsia="宋体"/>
                <w:b w:val="0"/>
                <w:i w:val="0"/>
                <w:color w:val="1F2D3D"/>
                <w:sz w:val="18"/>
              </w:rPr>
              <w:t>128 / 2</w:t>
            </w:r>
          </w:p>
        </w:tc>
        <w:tc>
          <w:tcPr>
            <w:tcW w:w="2880" w:type="dxa"/>
            <w:tcMar>
              <w:top w:w="90" w:type="dxa"/>
              <w:left w:w="120" w:type="dxa"/>
              <w:bottom w:w="90" w:type="dxa"/>
              <w:right w:w="120" w:type="dxa"/>
            </w:tcMar>
            <w:vAlign w:val="center"/>
          </w:tcPr>
          <w:p w14:paraId="12A151CD">
            <w:pPr>
              <w:spacing w:after="0" w:line="264" w:lineRule="auto"/>
              <w:jc w:val="left"/>
            </w:pPr>
            <w:r>
              <w:rPr>
                <w:rFonts w:ascii="Calibri" w:hAnsi="Calibri" w:eastAsia="宋体"/>
                <w:b w:val="0"/>
                <w:i w:val="0"/>
                <w:color w:val="1F2D3D"/>
                <w:sz w:val="18"/>
              </w:rPr>
              <w:t>128 / 2</w:t>
            </w:r>
          </w:p>
        </w:tc>
      </w:tr>
      <w:tr w14:paraId="171FBE58">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3672" w:type="dxa"/>
            <w:tcMar>
              <w:top w:w="90" w:type="dxa"/>
              <w:left w:w="120" w:type="dxa"/>
              <w:bottom w:w="90" w:type="dxa"/>
              <w:right w:w="120" w:type="dxa"/>
            </w:tcMar>
            <w:vAlign w:val="center"/>
          </w:tcPr>
          <w:p w14:paraId="6ECF0AAE">
            <w:pPr>
              <w:spacing w:after="0" w:line="264" w:lineRule="auto"/>
              <w:jc w:val="center"/>
            </w:pPr>
            <w:r>
              <w:rPr>
                <w:rFonts w:ascii="Calibri" w:hAnsi="Calibri" w:eastAsia="宋体"/>
                <w:b w:val="0"/>
                <w:i w:val="0"/>
                <w:color w:val="1F2D3D"/>
                <w:sz w:val="18"/>
              </w:rPr>
              <w:t>Dropout</w:t>
            </w:r>
          </w:p>
        </w:tc>
        <w:tc>
          <w:tcPr>
            <w:tcW w:w="2808" w:type="dxa"/>
            <w:tcMar>
              <w:top w:w="90" w:type="dxa"/>
              <w:left w:w="120" w:type="dxa"/>
              <w:bottom w:w="90" w:type="dxa"/>
              <w:right w:w="120" w:type="dxa"/>
            </w:tcMar>
            <w:vAlign w:val="center"/>
          </w:tcPr>
          <w:p w14:paraId="16E9D9C9">
            <w:pPr>
              <w:spacing w:after="0" w:line="264" w:lineRule="auto"/>
              <w:jc w:val="left"/>
            </w:pPr>
            <w:r>
              <w:rPr>
                <w:rFonts w:ascii="Calibri" w:hAnsi="Calibri" w:eastAsia="宋体"/>
                <w:b w:val="0"/>
                <w:i w:val="0"/>
                <w:color w:val="1F2D3D"/>
                <w:sz w:val="18"/>
              </w:rPr>
              <w:t>0.2</w:t>
            </w:r>
          </w:p>
        </w:tc>
        <w:tc>
          <w:tcPr>
            <w:tcW w:w="2880" w:type="dxa"/>
            <w:tcMar>
              <w:top w:w="90" w:type="dxa"/>
              <w:left w:w="120" w:type="dxa"/>
              <w:bottom w:w="90" w:type="dxa"/>
              <w:right w:w="120" w:type="dxa"/>
            </w:tcMar>
            <w:vAlign w:val="center"/>
          </w:tcPr>
          <w:p w14:paraId="59F93F77">
            <w:pPr>
              <w:spacing w:after="0" w:line="264" w:lineRule="auto"/>
              <w:jc w:val="left"/>
            </w:pPr>
            <w:r>
              <w:rPr>
                <w:rFonts w:ascii="Calibri" w:hAnsi="Calibri" w:eastAsia="宋体"/>
                <w:b w:val="0"/>
                <w:i w:val="0"/>
                <w:color w:val="1F2D3D"/>
                <w:sz w:val="18"/>
              </w:rPr>
              <w:t>0.2</w:t>
            </w:r>
          </w:p>
        </w:tc>
      </w:tr>
      <w:tr w14:paraId="424AEB61">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3672" w:type="dxa"/>
            <w:tcMar>
              <w:top w:w="90" w:type="dxa"/>
              <w:left w:w="120" w:type="dxa"/>
              <w:bottom w:w="90" w:type="dxa"/>
              <w:right w:w="120" w:type="dxa"/>
            </w:tcMar>
            <w:vAlign w:val="center"/>
          </w:tcPr>
          <w:p w14:paraId="66A24839">
            <w:pPr>
              <w:spacing w:after="0" w:line="264" w:lineRule="auto"/>
              <w:jc w:val="center"/>
            </w:pPr>
            <w:r>
              <w:rPr>
                <w:rFonts w:ascii="Calibri" w:hAnsi="Calibri" w:eastAsia="宋体"/>
                <w:b w:val="0"/>
                <w:i w:val="0"/>
                <w:color w:val="1F2D3D"/>
                <w:sz w:val="18"/>
              </w:rPr>
              <w:t>注意力</w:t>
            </w:r>
          </w:p>
        </w:tc>
        <w:tc>
          <w:tcPr>
            <w:tcW w:w="2808" w:type="dxa"/>
            <w:tcMar>
              <w:top w:w="90" w:type="dxa"/>
              <w:left w:w="120" w:type="dxa"/>
              <w:bottom w:w="90" w:type="dxa"/>
              <w:right w:w="120" w:type="dxa"/>
            </w:tcMar>
            <w:vAlign w:val="center"/>
          </w:tcPr>
          <w:p w14:paraId="4E3805C5">
            <w:pPr>
              <w:spacing w:after="0" w:line="264" w:lineRule="auto"/>
              <w:jc w:val="left"/>
            </w:pPr>
            <w:r>
              <w:rPr>
                <w:rFonts w:ascii="Calibri" w:hAnsi="Calibri" w:eastAsia="宋体"/>
                <w:b w:val="0"/>
                <w:i w:val="0"/>
                <w:color w:val="1F2D3D"/>
                <w:sz w:val="18"/>
              </w:rPr>
              <w:t>事件先验注意力</w:t>
            </w:r>
          </w:p>
        </w:tc>
        <w:tc>
          <w:tcPr>
            <w:tcW w:w="2880" w:type="dxa"/>
            <w:tcMar>
              <w:top w:w="90" w:type="dxa"/>
              <w:left w:w="120" w:type="dxa"/>
              <w:bottom w:w="90" w:type="dxa"/>
              <w:right w:w="120" w:type="dxa"/>
            </w:tcMar>
            <w:vAlign w:val="center"/>
          </w:tcPr>
          <w:p w14:paraId="464F7B60">
            <w:pPr>
              <w:spacing w:after="0" w:line="264" w:lineRule="auto"/>
              <w:jc w:val="left"/>
            </w:pPr>
            <w:r>
              <w:rPr>
                <w:rFonts w:ascii="Calibri" w:hAnsi="Calibri" w:eastAsia="宋体"/>
                <w:b w:val="0"/>
                <w:i w:val="0"/>
                <w:color w:val="1F2D3D"/>
                <w:sz w:val="18"/>
              </w:rPr>
              <w:t>事件先验注意力</w:t>
            </w:r>
          </w:p>
        </w:tc>
      </w:tr>
      <w:tr w14:paraId="03AB086C">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3672" w:type="dxa"/>
            <w:tcMar>
              <w:top w:w="90" w:type="dxa"/>
              <w:left w:w="120" w:type="dxa"/>
              <w:bottom w:w="90" w:type="dxa"/>
              <w:right w:w="120" w:type="dxa"/>
            </w:tcMar>
            <w:vAlign w:val="center"/>
          </w:tcPr>
          <w:p w14:paraId="53C0E346">
            <w:pPr>
              <w:spacing w:after="0" w:line="264" w:lineRule="auto"/>
              <w:jc w:val="center"/>
            </w:pPr>
            <w:r>
              <w:rPr>
                <w:rFonts w:ascii="Calibri" w:hAnsi="Calibri" w:eastAsia="宋体"/>
                <w:b w:val="0"/>
                <w:i w:val="0"/>
                <w:color w:val="1F2D3D"/>
                <w:sz w:val="18"/>
              </w:rPr>
              <w:t>潜变量维度</w:t>
            </w:r>
          </w:p>
        </w:tc>
        <w:tc>
          <w:tcPr>
            <w:tcW w:w="2808" w:type="dxa"/>
            <w:tcMar>
              <w:top w:w="90" w:type="dxa"/>
              <w:left w:w="120" w:type="dxa"/>
              <w:bottom w:w="90" w:type="dxa"/>
              <w:right w:w="120" w:type="dxa"/>
            </w:tcMar>
            <w:vAlign w:val="center"/>
          </w:tcPr>
          <w:p w14:paraId="28FD4193">
            <w:pPr>
              <w:spacing w:after="0" w:line="264" w:lineRule="auto"/>
              <w:jc w:val="left"/>
            </w:pPr>
            <w:r>
              <w:rPr>
                <w:rFonts w:ascii="Calibri" w:hAnsi="Calibri" w:eastAsia="宋体"/>
                <w:b w:val="0"/>
                <w:i w:val="0"/>
                <w:color w:val="1F2D3D"/>
                <w:sz w:val="18"/>
              </w:rPr>
              <w:t>—</w:t>
            </w:r>
          </w:p>
        </w:tc>
        <w:tc>
          <w:tcPr>
            <w:tcW w:w="2880" w:type="dxa"/>
            <w:tcMar>
              <w:top w:w="90" w:type="dxa"/>
              <w:left w:w="120" w:type="dxa"/>
              <w:bottom w:w="90" w:type="dxa"/>
              <w:right w:w="120" w:type="dxa"/>
            </w:tcMar>
            <w:vAlign w:val="center"/>
          </w:tcPr>
          <w:p w14:paraId="5DC80019">
            <w:pPr>
              <w:spacing w:after="0" w:line="264" w:lineRule="auto"/>
              <w:jc w:val="left"/>
            </w:pPr>
            <w:r>
              <w:rPr>
                <w:rFonts w:ascii="Calibri" w:hAnsi="Calibri" w:eastAsia="宋体"/>
                <w:b w:val="0"/>
                <w:i w:val="0"/>
                <w:color w:val="1F2D3D"/>
                <w:sz w:val="18"/>
              </w:rPr>
              <w:t>32</w:t>
            </w:r>
          </w:p>
        </w:tc>
      </w:tr>
      <w:tr w14:paraId="1F0FB3BB">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3672" w:type="dxa"/>
            <w:tcMar>
              <w:top w:w="90" w:type="dxa"/>
              <w:left w:w="120" w:type="dxa"/>
              <w:bottom w:w="90" w:type="dxa"/>
              <w:right w:w="120" w:type="dxa"/>
            </w:tcMar>
            <w:vAlign w:val="center"/>
          </w:tcPr>
          <w:p w14:paraId="586E85F1">
            <w:pPr>
              <w:spacing w:after="0" w:line="264" w:lineRule="auto"/>
              <w:jc w:val="center"/>
            </w:pPr>
            <w:r>
              <w:rPr>
                <w:rFonts w:ascii="Calibri" w:hAnsi="Calibri" w:eastAsia="宋体"/>
                <w:b w:val="0"/>
                <w:i w:val="0"/>
                <w:color w:val="1F2D3D"/>
                <w:sz w:val="18"/>
              </w:rPr>
              <w:t>ODE 隐藏维度 / RK4 步数</w:t>
            </w:r>
          </w:p>
        </w:tc>
        <w:tc>
          <w:tcPr>
            <w:tcW w:w="2808" w:type="dxa"/>
            <w:tcMar>
              <w:top w:w="90" w:type="dxa"/>
              <w:left w:w="120" w:type="dxa"/>
              <w:bottom w:w="90" w:type="dxa"/>
              <w:right w:w="120" w:type="dxa"/>
            </w:tcMar>
            <w:vAlign w:val="center"/>
          </w:tcPr>
          <w:p w14:paraId="6FABE112">
            <w:pPr>
              <w:spacing w:after="0" w:line="264" w:lineRule="auto"/>
              <w:jc w:val="left"/>
            </w:pPr>
            <w:r>
              <w:rPr>
                <w:rFonts w:ascii="Calibri" w:hAnsi="Calibri" w:eastAsia="宋体"/>
                <w:b w:val="0"/>
                <w:i w:val="0"/>
                <w:color w:val="1F2D3D"/>
                <w:sz w:val="18"/>
              </w:rPr>
              <w:t>—</w:t>
            </w:r>
          </w:p>
        </w:tc>
        <w:tc>
          <w:tcPr>
            <w:tcW w:w="2880" w:type="dxa"/>
            <w:tcMar>
              <w:top w:w="90" w:type="dxa"/>
              <w:left w:w="120" w:type="dxa"/>
              <w:bottom w:w="90" w:type="dxa"/>
              <w:right w:w="120" w:type="dxa"/>
            </w:tcMar>
            <w:vAlign w:val="center"/>
          </w:tcPr>
          <w:p w14:paraId="6EAD5E4E">
            <w:pPr>
              <w:spacing w:after="0" w:line="264" w:lineRule="auto"/>
              <w:jc w:val="left"/>
            </w:pPr>
            <w:r>
              <w:rPr>
                <w:rFonts w:ascii="Calibri" w:hAnsi="Calibri" w:eastAsia="宋体"/>
                <w:b w:val="0"/>
                <w:i w:val="0"/>
                <w:color w:val="1F2D3D"/>
                <w:sz w:val="18"/>
              </w:rPr>
              <w:t>64 / 10</w:t>
            </w:r>
          </w:p>
        </w:tc>
      </w:tr>
      <w:tr w14:paraId="693489C5">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3672" w:type="dxa"/>
            <w:tcMar>
              <w:top w:w="90" w:type="dxa"/>
              <w:left w:w="120" w:type="dxa"/>
              <w:bottom w:w="90" w:type="dxa"/>
              <w:right w:w="120" w:type="dxa"/>
            </w:tcMar>
            <w:vAlign w:val="center"/>
          </w:tcPr>
          <w:p w14:paraId="1243ECA1">
            <w:pPr>
              <w:spacing w:after="0" w:line="264" w:lineRule="auto"/>
              <w:jc w:val="center"/>
            </w:pPr>
            <w:r>
              <w:rPr>
                <w:rFonts w:ascii="Calibri" w:hAnsi="Calibri" w:eastAsia="宋体"/>
                <w:b w:val="0"/>
                <w:i w:val="0"/>
                <w:color w:val="1F2D3D"/>
                <w:sz w:val="18"/>
              </w:rPr>
              <w:t>参数量</w:t>
            </w:r>
          </w:p>
        </w:tc>
        <w:tc>
          <w:tcPr>
            <w:tcW w:w="2808" w:type="dxa"/>
            <w:tcMar>
              <w:top w:w="90" w:type="dxa"/>
              <w:left w:w="120" w:type="dxa"/>
              <w:bottom w:w="90" w:type="dxa"/>
              <w:right w:w="120" w:type="dxa"/>
            </w:tcMar>
            <w:vAlign w:val="center"/>
          </w:tcPr>
          <w:p w14:paraId="5158523F">
            <w:pPr>
              <w:spacing w:after="0" w:line="264" w:lineRule="auto"/>
              <w:jc w:val="left"/>
            </w:pPr>
            <w:r>
              <w:rPr>
                <w:rFonts w:ascii="Calibri" w:hAnsi="Calibri" w:eastAsia="宋体"/>
                <w:b w:val="0"/>
                <w:i w:val="0"/>
                <w:color w:val="1F2D3D"/>
                <w:sz w:val="18"/>
              </w:rPr>
              <w:t>167,550</w:t>
            </w:r>
          </w:p>
        </w:tc>
        <w:tc>
          <w:tcPr>
            <w:tcW w:w="2880" w:type="dxa"/>
            <w:tcMar>
              <w:top w:w="90" w:type="dxa"/>
              <w:left w:w="120" w:type="dxa"/>
              <w:bottom w:w="90" w:type="dxa"/>
              <w:right w:w="120" w:type="dxa"/>
            </w:tcMar>
            <w:vAlign w:val="center"/>
          </w:tcPr>
          <w:p w14:paraId="17923884">
            <w:pPr>
              <w:spacing w:after="0" w:line="264" w:lineRule="auto"/>
              <w:jc w:val="left"/>
            </w:pPr>
            <w:r>
              <w:rPr>
                <w:rFonts w:ascii="Calibri" w:hAnsi="Calibri" w:eastAsia="宋体"/>
                <w:b w:val="0"/>
                <w:i w:val="0"/>
                <w:color w:val="1F2D3D"/>
                <w:sz w:val="18"/>
              </w:rPr>
              <w:t>175,688</w:t>
            </w:r>
          </w:p>
        </w:tc>
      </w:tr>
      <w:tr w14:paraId="6FD3C337">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3672" w:type="dxa"/>
            <w:tcMar>
              <w:top w:w="90" w:type="dxa"/>
              <w:left w:w="120" w:type="dxa"/>
              <w:bottom w:w="90" w:type="dxa"/>
              <w:right w:w="120" w:type="dxa"/>
            </w:tcMar>
            <w:vAlign w:val="center"/>
          </w:tcPr>
          <w:p w14:paraId="23CBD6E2">
            <w:pPr>
              <w:spacing w:after="0" w:line="264" w:lineRule="auto"/>
              <w:jc w:val="center"/>
            </w:pPr>
            <w:r>
              <w:rPr>
                <w:rFonts w:ascii="Calibri" w:hAnsi="Calibri" w:eastAsia="宋体"/>
                <w:b w:val="0"/>
                <w:i w:val="0"/>
                <w:color w:val="1F2D3D"/>
                <w:sz w:val="18"/>
              </w:rPr>
              <w:t>监督损失</w:t>
            </w:r>
          </w:p>
        </w:tc>
        <w:tc>
          <w:tcPr>
            <w:tcW w:w="2808" w:type="dxa"/>
            <w:tcMar>
              <w:top w:w="90" w:type="dxa"/>
              <w:left w:w="120" w:type="dxa"/>
              <w:bottom w:w="90" w:type="dxa"/>
              <w:right w:w="120" w:type="dxa"/>
            </w:tcMar>
            <w:vAlign w:val="center"/>
          </w:tcPr>
          <w:p w14:paraId="4AB79F0F">
            <w:pPr>
              <w:spacing w:after="0" w:line="264" w:lineRule="auto"/>
              <w:jc w:val="left"/>
            </w:pPr>
            <w:r>
              <w:rPr>
                <w:rFonts w:ascii="Calibri" w:hAnsi="Calibri" w:eastAsia="宋体"/>
                <w:b w:val="0"/>
                <w:i w:val="0"/>
                <w:color w:val="1F2D3D"/>
                <w:sz w:val="18"/>
              </w:rPr>
              <w:t>加权 Huber</w:t>
            </w:r>
          </w:p>
        </w:tc>
        <w:tc>
          <w:tcPr>
            <w:tcW w:w="2880" w:type="dxa"/>
            <w:tcMar>
              <w:top w:w="90" w:type="dxa"/>
              <w:left w:w="120" w:type="dxa"/>
              <w:bottom w:w="90" w:type="dxa"/>
              <w:right w:w="120" w:type="dxa"/>
            </w:tcMar>
            <w:vAlign w:val="center"/>
          </w:tcPr>
          <w:p w14:paraId="678F110E">
            <w:pPr>
              <w:spacing w:after="0" w:line="264" w:lineRule="auto"/>
              <w:jc w:val="left"/>
            </w:pPr>
            <w:r>
              <w:rPr>
                <w:rFonts w:ascii="Calibri" w:hAnsi="Calibri" w:eastAsia="宋体"/>
                <w:b w:val="0"/>
                <w:i w:val="0"/>
                <w:color w:val="1F2D3D"/>
                <w:sz w:val="18"/>
              </w:rPr>
              <w:t>加权 Huber</w:t>
            </w:r>
          </w:p>
        </w:tc>
      </w:tr>
      <w:tr w14:paraId="4C1E3DB7">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3672" w:type="dxa"/>
            <w:tcMar>
              <w:top w:w="90" w:type="dxa"/>
              <w:left w:w="120" w:type="dxa"/>
              <w:bottom w:w="90" w:type="dxa"/>
              <w:right w:w="120" w:type="dxa"/>
            </w:tcMar>
            <w:vAlign w:val="center"/>
          </w:tcPr>
          <w:p w14:paraId="4573ABC1">
            <w:pPr>
              <w:spacing w:after="0" w:line="264" w:lineRule="auto"/>
              <w:jc w:val="center"/>
            </w:pPr>
            <w:r>
              <w:rPr>
                <w:rFonts w:ascii="Calibri" w:hAnsi="Calibri" w:eastAsia="宋体"/>
                <w:b w:val="0"/>
                <w:i w:val="0"/>
                <w:color w:val="1F2D3D"/>
                <w:sz w:val="18"/>
              </w:rPr>
              <w:t>单调约束 λ_mono</w:t>
            </w:r>
          </w:p>
        </w:tc>
        <w:tc>
          <w:tcPr>
            <w:tcW w:w="2808" w:type="dxa"/>
            <w:tcMar>
              <w:top w:w="90" w:type="dxa"/>
              <w:left w:w="120" w:type="dxa"/>
              <w:bottom w:w="90" w:type="dxa"/>
              <w:right w:w="120" w:type="dxa"/>
            </w:tcMar>
            <w:vAlign w:val="center"/>
          </w:tcPr>
          <w:p w14:paraId="584DA256">
            <w:pPr>
              <w:spacing w:after="0" w:line="264" w:lineRule="auto"/>
              <w:jc w:val="left"/>
            </w:pPr>
            <w:r>
              <w:rPr>
                <w:rFonts w:ascii="Calibri" w:hAnsi="Calibri" w:eastAsia="宋体"/>
                <w:b w:val="0"/>
                <w:i w:val="0"/>
                <w:color w:val="1F2D3D"/>
                <w:sz w:val="18"/>
              </w:rPr>
              <w:t>1.0</w:t>
            </w:r>
          </w:p>
        </w:tc>
        <w:tc>
          <w:tcPr>
            <w:tcW w:w="2880" w:type="dxa"/>
            <w:tcMar>
              <w:top w:w="90" w:type="dxa"/>
              <w:left w:w="120" w:type="dxa"/>
              <w:bottom w:w="90" w:type="dxa"/>
              <w:right w:w="120" w:type="dxa"/>
            </w:tcMar>
            <w:vAlign w:val="center"/>
          </w:tcPr>
          <w:p w14:paraId="1AB0C174">
            <w:pPr>
              <w:spacing w:after="0" w:line="264" w:lineRule="auto"/>
              <w:jc w:val="left"/>
            </w:pPr>
            <w:r>
              <w:rPr>
                <w:rFonts w:ascii="Calibri" w:hAnsi="Calibri" w:eastAsia="宋体"/>
                <w:b w:val="0"/>
                <w:i w:val="0"/>
                <w:color w:val="1F2D3D"/>
                <w:sz w:val="18"/>
              </w:rPr>
              <w:t>1.0</w:t>
            </w:r>
          </w:p>
        </w:tc>
      </w:tr>
      <w:tr w14:paraId="57F09F75">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3672" w:type="dxa"/>
            <w:tcMar>
              <w:top w:w="90" w:type="dxa"/>
              <w:left w:w="120" w:type="dxa"/>
              <w:bottom w:w="90" w:type="dxa"/>
              <w:right w:w="120" w:type="dxa"/>
            </w:tcMar>
            <w:vAlign w:val="center"/>
          </w:tcPr>
          <w:p w14:paraId="3986CC13">
            <w:pPr>
              <w:spacing w:after="0" w:line="264" w:lineRule="auto"/>
              <w:jc w:val="center"/>
            </w:pPr>
            <w:r>
              <w:rPr>
                <w:rFonts w:ascii="Calibri" w:hAnsi="Calibri" w:eastAsia="宋体"/>
                <w:b w:val="0"/>
                <w:i w:val="0"/>
                <w:color w:val="1F2D3D"/>
                <w:sz w:val="18"/>
              </w:rPr>
              <w:t>下界约束 λ_lb</w:t>
            </w:r>
          </w:p>
        </w:tc>
        <w:tc>
          <w:tcPr>
            <w:tcW w:w="2808" w:type="dxa"/>
            <w:tcMar>
              <w:top w:w="90" w:type="dxa"/>
              <w:left w:w="120" w:type="dxa"/>
              <w:bottom w:w="90" w:type="dxa"/>
              <w:right w:w="120" w:type="dxa"/>
            </w:tcMar>
            <w:vAlign w:val="center"/>
          </w:tcPr>
          <w:p w14:paraId="570535CA">
            <w:pPr>
              <w:spacing w:after="0" w:line="264" w:lineRule="auto"/>
              <w:jc w:val="left"/>
            </w:pPr>
            <w:r>
              <w:rPr>
                <w:rFonts w:ascii="Calibri" w:hAnsi="Calibri" w:eastAsia="宋体"/>
                <w:b w:val="0"/>
                <w:i w:val="0"/>
                <w:color w:val="1F2D3D"/>
                <w:sz w:val="18"/>
              </w:rPr>
              <w:t>—</w:t>
            </w:r>
          </w:p>
        </w:tc>
        <w:tc>
          <w:tcPr>
            <w:tcW w:w="2880" w:type="dxa"/>
            <w:tcMar>
              <w:top w:w="90" w:type="dxa"/>
              <w:left w:w="120" w:type="dxa"/>
              <w:bottom w:w="90" w:type="dxa"/>
              <w:right w:w="120" w:type="dxa"/>
            </w:tcMar>
            <w:vAlign w:val="center"/>
          </w:tcPr>
          <w:p w14:paraId="03909F47">
            <w:pPr>
              <w:spacing w:after="0" w:line="264" w:lineRule="auto"/>
              <w:jc w:val="left"/>
            </w:pPr>
            <w:r>
              <w:rPr>
                <w:rFonts w:ascii="Calibri" w:hAnsi="Calibri" w:eastAsia="宋体"/>
                <w:b w:val="0"/>
                <w:i w:val="0"/>
                <w:color w:val="1F2D3D"/>
                <w:sz w:val="18"/>
              </w:rPr>
              <w:t>0.1</w:t>
            </w:r>
          </w:p>
        </w:tc>
      </w:tr>
      <w:tr w14:paraId="58ADD7AF">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3672" w:type="dxa"/>
            <w:tcMar>
              <w:top w:w="90" w:type="dxa"/>
              <w:left w:w="120" w:type="dxa"/>
              <w:bottom w:w="90" w:type="dxa"/>
              <w:right w:w="120" w:type="dxa"/>
            </w:tcMar>
            <w:vAlign w:val="center"/>
          </w:tcPr>
          <w:p w14:paraId="6EEECBF4">
            <w:pPr>
              <w:spacing w:after="0" w:line="264" w:lineRule="auto"/>
              <w:jc w:val="center"/>
            </w:pPr>
            <w:r>
              <w:rPr>
                <w:rFonts w:ascii="Calibri" w:hAnsi="Calibri" w:eastAsia="宋体"/>
                <w:b w:val="0"/>
                <w:i w:val="0"/>
                <w:color w:val="1F2D3D"/>
                <w:sz w:val="18"/>
              </w:rPr>
              <w:t>批大小 / 初始学习率</w:t>
            </w:r>
          </w:p>
        </w:tc>
        <w:tc>
          <w:tcPr>
            <w:tcW w:w="2808" w:type="dxa"/>
            <w:tcMar>
              <w:top w:w="90" w:type="dxa"/>
              <w:left w:w="120" w:type="dxa"/>
              <w:bottom w:w="90" w:type="dxa"/>
              <w:right w:w="120" w:type="dxa"/>
            </w:tcMar>
            <w:vAlign w:val="center"/>
          </w:tcPr>
          <w:p w14:paraId="78A9B4E2">
            <w:pPr>
              <w:spacing w:after="0" w:line="264" w:lineRule="auto"/>
              <w:jc w:val="left"/>
            </w:pPr>
            <w:r>
              <w:rPr>
                <w:rFonts w:ascii="Calibri" w:hAnsi="Calibri" w:eastAsia="宋体"/>
                <w:b w:val="0"/>
                <w:i w:val="0"/>
                <w:color w:val="1F2D3D"/>
                <w:sz w:val="18"/>
              </w:rPr>
              <w:t>128 / 10⁻³</w:t>
            </w:r>
          </w:p>
        </w:tc>
        <w:tc>
          <w:tcPr>
            <w:tcW w:w="2880" w:type="dxa"/>
            <w:tcMar>
              <w:top w:w="90" w:type="dxa"/>
              <w:left w:w="120" w:type="dxa"/>
              <w:bottom w:w="90" w:type="dxa"/>
              <w:right w:w="120" w:type="dxa"/>
            </w:tcMar>
            <w:vAlign w:val="center"/>
          </w:tcPr>
          <w:p w14:paraId="50E08616">
            <w:pPr>
              <w:spacing w:after="0" w:line="264" w:lineRule="auto"/>
              <w:jc w:val="left"/>
            </w:pPr>
            <w:r>
              <w:rPr>
                <w:rFonts w:ascii="Calibri" w:hAnsi="Calibri" w:eastAsia="宋体"/>
                <w:b w:val="0"/>
                <w:i w:val="0"/>
                <w:color w:val="1F2D3D"/>
                <w:sz w:val="18"/>
              </w:rPr>
              <w:t>128 / 10⁻³</w:t>
            </w:r>
          </w:p>
        </w:tc>
      </w:tr>
      <w:tr w14:paraId="5F027508">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3672" w:type="dxa"/>
            <w:tcMar>
              <w:top w:w="90" w:type="dxa"/>
              <w:left w:w="120" w:type="dxa"/>
              <w:bottom w:w="90" w:type="dxa"/>
              <w:right w:w="120" w:type="dxa"/>
            </w:tcMar>
            <w:vAlign w:val="center"/>
          </w:tcPr>
          <w:p w14:paraId="2D96DA09">
            <w:pPr>
              <w:spacing w:after="0" w:line="264" w:lineRule="auto"/>
              <w:jc w:val="center"/>
            </w:pPr>
            <w:r>
              <w:rPr>
                <w:rFonts w:ascii="Calibri" w:hAnsi="Calibri" w:eastAsia="宋体"/>
                <w:b w:val="0"/>
                <w:i w:val="0"/>
                <w:color w:val="1F2D3D"/>
                <w:sz w:val="18"/>
              </w:rPr>
              <w:t>最大轮数 / 早停耐心</w:t>
            </w:r>
          </w:p>
        </w:tc>
        <w:tc>
          <w:tcPr>
            <w:tcW w:w="2808" w:type="dxa"/>
            <w:tcMar>
              <w:top w:w="90" w:type="dxa"/>
              <w:left w:w="120" w:type="dxa"/>
              <w:bottom w:w="90" w:type="dxa"/>
              <w:right w:w="120" w:type="dxa"/>
            </w:tcMar>
            <w:vAlign w:val="center"/>
          </w:tcPr>
          <w:p w14:paraId="69866595">
            <w:pPr>
              <w:spacing w:after="0" w:line="264" w:lineRule="auto"/>
              <w:jc w:val="left"/>
            </w:pPr>
            <w:r>
              <w:rPr>
                <w:rFonts w:ascii="Calibri" w:hAnsi="Calibri" w:eastAsia="宋体"/>
                <w:b w:val="0"/>
                <w:i w:val="0"/>
                <w:color w:val="1F2D3D"/>
                <w:sz w:val="18"/>
              </w:rPr>
              <w:t>200 / 20</w:t>
            </w:r>
          </w:p>
        </w:tc>
        <w:tc>
          <w:tcPr>
            <w:tcW w:w="2880" w:type="dxa"/>
            <w:tcMar>
              <w:top w:w="90" w:type="dxa"/>
              <w:left w:w="120" w:type="dxa"/>
              <w:bottom w:w="90" w:type="dxa"/>
              <w:right w:w="120" w:type="dxa"/>
            </w:tcMar>
            <w:vAlign w:val="center"/>
          </w:tcPr>
          <w:p w14:paraId="56D23B95">
            <w:pPr>
              <w:spacing w:after="0" w:line="264" w:lineRule="auto"/>
              <w:jc w:val="left"/>
            </w:pPr>
            <w:r>
              <w:rPr>
                <w:rFonts w:ascii="Calibri" w:hAnsi="Calibri" w:eastAsia="宋体"/>
                <w:b w:val="0"/>
                <w:i w:val="0"/>
                <w:color w:val="1F2D3D"/>
                <w:sz w:val="18"/>
              </w:rPr>
              <w:t>200 / 20</w:t>
            </w:r>
          </w:p>
        </w:tc>
      </w:tr>
    </w:tbl>
    <w:p w14:paraId="2B7FD200">
      <w:pPr>
        <w:spacing w:before="80" w:after="120"/>
      </w:pPr>
      <w:r>
        <w:rPr>
          <w:rFonts w:ascii="Calibri" w:hAnsi="Calibri" w:eastAsia="宋体"/>
          <w:b w:val="0"/>
          <w:i w:val="0"/>
          <w:color w:val="5F6973"/>
          <w:sz w:val="17"/>
        </w:rPr>
        <w:t>注：两模型当前并非仅相差 ODE 模块：输入特征和下界损失也不同，必须补做严格同条件对照。</w:t>
      </w:r>
    </w:p>
    <w:p w14:paraId="15A45CAF">
      <w:pPr>
        <w:spacing w:before="0" w:after="160" w:line="320" w:lineRule="auto"/>
        <w:ind w:firstLine="403"/>
        <w:jc w:val="both"/>
      </w:pPr>
      <w:r>
        <w:rPr>
          <w:rFonts w:ascii="Calibri" w:hAnsi="Calibri" w:eastAsia="宋体"/>
          <w:b w:val="0"/>
          <w:i w:val="0"/>
          <w:color w:val="1F2D3D"/>
          <w:sz w:val="21"/>
        </w:rPr>
        <w:t>优化器为 Adam[16]；验证指标由监督、单调与下界损失加权组成，学习率调度器在验证指标 10 轮不改善时减半，最小学习率 10⁻⁶；梯度范数裁剪为 1.0。随机种子设为 42，但代码启用 cuDNN benchmark 且关闭确定性模式，因此当前单次结果不具备严格位级复现性。</w:t>
      </w:r>
    </w:p>
    <w:p w14:paraId="301CA303">
      <w:pPr>
        <w:pBdr>
          <w:left w:val="single" w:color="C00000" w:sz="18" w:space="5"/>
        </w:pBdr>
        <w:shd w:val="clear" w:fill="FDE9E7"/>
        <w:spacing w:before="80" w:after="140" w:line="276" w:lineRule="auto"/>
        <w:ind w:left="115" w:right="115"/>
      </w:pPr>
      <w:r>
        <w:rPr>
          <w:rFonts w:ascii="Calibri" w:hAnsi="Calibri" w:eastAsia="宋体"/>
          <w:b/>
          <w:i w:val="0"/>
          <w:color w:val="C00000"/>
          <w:sz w:val="20"/>
        </w:rPr>
        <w:t xml:space="preserve">【投稿前必须补充】 </w:t>
      </w:r>
      <w:r>
        <w:rPr>
          <w:rFonts w:ascii="Calibri" w:hAnsi="Calibri" w:eastAsia="宋体"/>
          <w:b w:val="0"/>
          <w:i w:val="0"/>
          <w:color w:val="C00000"/>
          <w:sz w:val="20"/>
        </w:rPr>
        <w:t>计算环境与时延：填写 CPU、GPU、内存、PyTorch/CUDA/CoolProp 版本；分别报告单样本、batch=1、batch=128 的平均/中位/P95 推理时延，预热后重复至少 1000 次，并与可用的高保真仿真或现有工程计算时延比较。当前没有证据支持“毫秒级”或“1 秒内几十方案”的定量表述。</w:t>
      </w:r>
    </w:p>
    <w:p w14:paraId="1B7C192E">
      <w:pPr>
        <w:pStyle w:val="4"/>
        <w:keepNext/>
        <w:keepLines/>
      </w:pPr>
      <w:r>
        <w:t>5.2 对比方法与消融方案</w:t>
      </w:r>
    </w:p>
    <w:p w14:paraId="21BE0B48">
      <w:pPr>
        <w:spacing w:before="0" w:after="160" w:line="320" w:lineRule="auto"/>
        <w:ind w:firstLine="403"/>
        <w:jc w:val="both"/>
      </w:pPr>
      <w:r>
        <w:rPr>
          <w:rFonts w:ascii="Calibri" w:hAnsi="Calibri" w:eastAsia="宋体"/>
          <w:b w:val="0"/>
          <w:i w:val="0"/>
          <w:color w:val="1F2D3D"/>
          <w:sz w:val="21"/>
        </w:rPr>
        <w:t>当前提供的“纯 GRU”权重实际包含事件注意力、伪冷量特征和反事实单调损失，它是“无 ODE 的物理正则 GRU 基线”，并非朴素 GRU。为了识别性能来源，建议至少完成以下同条件实验：</w:t>
      </w:r>
    </w:p>
    <w:p w14:paraId="6EE79D3F">
      <w:pPr>
        <w:pStyle w:val="16"/>
        <w:spacing w:after="80" w:line="290" w:lineRule="auto"/>
      </w:pPr>
      <w:r>
        <w:rPr>
          <w:rFonts w:ascii="Calibri" w:hAnsi="Calibri" w:eastAsia="宋体"/>
          <w:b w:val="0"/>
          <w:i w:val="0"/>
          <w:color w:val="1F2D3D"/>
          <w:sz w:val="21"/>
        </w:rPr>
        <w:t>持久性基线：T̂_(t+H)=T_t，以及线性/岭回归基线。</w:t>
      </w:r>
    </w:p>
    <w:p w14:paraId="5495B758">
      <w:pPr>
        <w:pStyle w:val="16"/>
        <w:spacing w:after="80" w:line="290" w:lineRule="auto"/>
      </w:pPr>
      <w:r>
        <w:rPr>
          <w:rFonts w:ascii="Calibri" w:hAnsi="Calibri" w:eastAsia="宋体"/>
          <w:b w:val="0"/>
          <w:i w:val="0"/>
          <w:color w:val="1F2D3D"/>
          <w:sz w:val="21"/>
        </w:rPr>
        <w:t>朴素 GRU：统一 32 个输入，仅监督 Huber 损失。</w:t>
      </w:r>
    </w:p>
    <w:p w14:paraId="25056D37">
      <w:pPr>
        <w:pStyle w:val="16"/>
        <w:spacing w:after="80" w:line="290" w:lineRule="auto"/>
      </w:pPr>
      <w:r>
        <w:rPr>
          <w:rFonts w:ascii="Calibri" w:hAnsi="Calibri" w:eastAsia="宋体"/>
          <w:b w:val="0"/>
          <w:i w:val="0"/>
          <w:color w:val="1F2D3D"/>
          <w:sz w:val="21"/>
        </w:rPr>
        <w:t>GRU + 事件注意力；GRU + 物性特征；GRU + 单调损失；GRU + 下界损失。</w:t>
      </w:r>
    </w:p>
    <w:p w14:paraId="5EF6978F">
      <w:pPr>
        <w:pStyle w:val="16"/>
        <w:spacing w:after="80" w:line="290" w:lineRule="auto"/>
      </w:pPr>
      <w:r>
        <w:rPr>
          <w:rFonts w:ascii="Calibri" w:hAnsi="Calibri" w:eastAsia="宋体"/>
          <w:b w:val="0"/>
          <w:i w:val="0"/>
          <w:color w:val="1F2D3D"/>
          <w:sz w:val="21"/>
        </w:rPr>
        <w:t>GRU-ODE：统一 32 个输入、无物理损失；随后逐步加入注意力、单调与下界约束。</w:t>
      </w:r>
    </w:p>
    <w:p w14:paraId="5420EB08">
      <w:pPr>
        <w:pStyle w:val="16"/>
        <w:spacing w:after="80" w:line="290" w:lineRule="auto"/>
      </w:pPr>
      <w:r>
        <w:rPr>
          <w:rFonts w:ascii="Calibri" w:hAnsi="Calibri" w:eastAsia="宋体"/>
          <w:b w:val="0"/>
          <w:i w:val="0"/>
          <w:color w:val="1F2D3D"/>
          <w:sz w:val="21"/>
        </w:rPr>
        <w:t>至少一个非循环基线，如 TCN、LSTM 或轻量 Transformer；所有模型采用相同分组与调参预算。</w:t>
      </w:r>
    </w:p>
    <w:p w14:paraId="43622D04">
      <w:pPr>
        <w:pBdr>
          <w:left w:val="single" w:color="C65911" w:sz="18" w:space="5"/>
        </w:pBdr>
        <w:shd w:val="clear" w:fill="FFF2CC"/>
        <w:spacing w:before="80" w:after="140" w:line="276" w:lineRule="auto"/>
        <w:ind w:left="115" w:right="115"/>
      </w:pPr>
      <w:r>
        <w:rPr>
          <w:rFonts w:ascii="Calibri" w:hAnsi="Calibri" w:eastAsia="宋体"/>
          <w:b/>
          <w:i w:val="0"/>
          <w:color w:val="C65911"/>
          <w:sz w:val="20"/>
        </w:rPr>
        <w:t xml:space="preserve">【建议补充实验】 </w:t>
      </w:r>
      <w:r>
        <w:rPr>
          <w:rFonts w:ascii="Calibri" w:hAnsi="Calibri" w:eastAsia="宋体"/>
          <w:b w:val="0"/>
          <w:i w:val="0"/>
          <w:color w:val="C65911"/>
          <w:sz w:val="20"/>
        </w:rPr>
        <w:t>重复性与统计检验：每种配置运行至少 5 个随机种子，报告均值±标准差；以独立冷却批次为重采样单元做 bootstrap 95% CI。若只有 1 个测试批次，不能以相邻时间点作为独立样本进行显著性检验。</w:t>
      </w:r>
    </w:p>
    <w:p w14:paraId="132661E1">
      <w:pPr>
        <w:pStyle w:val="4"/>
        <w:keepNext/>
        <w:keepLines/>
      </w:pPr>
      <w:r>
        <w:t>5.3 评价指标</w:t>
      </w:r>
    </w:p>
    <w:p w14:paraId="36CB3029">
      <w:pPr>
        <w:spacing w:before="0" w:after="160" w:line="320" w:lineRule="auto"/>
        <w:ind w:firstLine="403"/>
        <w:jc w:val="both"/>
      </w:pPr>
      <w:r>
        <w:rPr>
          <w:rFonts w:ascii="Calibri" w:hAnsi="Calibri" w:eastAsia="宋体"/>
          <w:b w:val="0"/>
          <w:i w:val="0"/>
          <w:color w:val="1F2D3D"/>
          <w:sz w:val="21"/>
        </w:rPr>
        <w:t>除 MAE 与 R² 外，建议报告 RMSE、P95 绝对误差、最大绝对误差、偏差（mean error）及分温区指标。由于测试温度跨度接近 5–294 K，R² 会被全局动态范围放大；长时间约 40 K 平台也会主导全局 MAE。因此必须增加以下控制相关指标：</w:t>
      </w:r>
    </w:p>
    <w:p w14:paraId="41F9B0A5">
      <w:pPr>
        <w:pStyle w:val="16"/>
        <w:spacing w:after="80" w:line="290" w:lineRule="auto"/>
      </w:pPr>
      <w:r>
        <w:rPr>
          <w:rFonts w:ascii="Calibri" w:hAnsi="Calibri" w:eastAsia="宋体"/>
          <w:b w:val="0"/>
          <w:i w:val="0"/>
          <w:color w:val="1F2D3D"/>
          <w:sz w:val="21"/>
        </w:rPr>
        <w:t>温区分层：300–120 K、120–45 K、45–20 K、20–4.5 K。</w:t>
      </w:r>
    </w:p>
    <w:p w14:paraId="58956DD8">
      <w:pPr>
        <w:pStyle w:val="16"/>
        <w:spacing w:after="80" w:line="290" w:lineRule="auto"/>
      </w:pPr>
      <w:r>
        <w:rPr>
          <w:rFonts w:ascii="Calibri" w:hAnsi="Calibri" w:eastAsia="宋体"/>
          <w:b w:val="0"/>
          <w:i w:val="0"/>
          <w:color w:val="1F2D3D"/>
          <w:sz w:val="21"/>
        </w:rPr>
        <w:t>动态分层：稳定段、缓降段、快降段、阀门事件前后 ±10 min。</w:t>
      </w:r>
    </w:p>
    <w:p w14:paraId="3DE50058">
      <w:pPr>
        <w:pStyle w:val="16"/>
        <w:spacing w:after="80" w:line="290" w:lineRule="auto"/>
      </w:pPr>
      <w:r>
        <w:rPr>
          <w:rFonts w:ascii="Calibri" w:hAnsi="Calibri" w:eastAsia="宋体"/>
          <w:b w:val="0"/>
          <w:i w:val="0"/>
          <w:color w:val="1F2D3D"/>
          <w:sz w:val="21"/>
        </w:rPr>
        <w:t>反事实一致性：各阀门违反率、违反幅值、温度响应增益及超出训练控制域的比例。</w:t>
      </w:r>
    </w:p>
    <w:p w14:paraId="4835CF39">
      <w:pPr>
        <w:pStyle w:val="16"/>
        <w:spacing w:after="80" w:line="290" w:lineRule="auto"/>
      </w:pPr>
      <w:r>
        <w:rPr>
          <w:rFonts w:ascii="Calibri" w:hAnsi="Calibri" w:eastAsia="宋体"/>
          <w:b w:val="0"/>
          <w:i w:val="0"/>
          <w:color w:val="1F2D3D"/>
          <w:sz w:val="21"/>
        </w:rPr>
        <w:t>物理下界：T̂&lt;TE8351 的比例与平均/最大违反幅值。</w:t>
      </w:r>
    </w:p>
    <w:p w14:paraId="42F2FEE2">
      <w:pPr>
        <w:pStyle w:val="16"/>
        <w:spacing w:after="80" w:line="290" w:lineRule="auto"/>
      </w:pPr>
      <w:r>
        <w:rPr>
          <w:rFonts w:ascii="Calibri" w:hAnsi="Calibri" w:eastAsia="宋体"/>
          <w:b w:val="0"/>
          <w:i w:val="0"/>
          <w:color w:val="1F2D3D"/>
          <w:sz w:val="21"/>
        </w:rPr>
        <w:t>控制可用性：候选阀门序列批量推理时延与滚动误差增长。</w:t>
      </w:r>
    </w:p>
    <w:p w14:paraId="70526E97">
      <w:pPr>
        <w:pStyle w:val="3"/>
        <w:keepNext/>
        <w:keepLines/>
      </w:pPr>
      <w:r>
        <w:t>6. 初步结果与讨论</w:t>
      </w:r>
    </w:p>
    <w:p w14:paraId="01956BE1">
      <w:pPr>
        <w:pStyle w:val="4"/>
        <w:keepNext/>
        <w:keepLines/>
      </w:pPr>
      <w:r>
        <w:t>6.1 全局预测精度</w:t>
      </w:r>
    </w:p>
    <w:p w14:paraId="6387CDAB">
      <w:pPr>
        <w:spacing w:before="0" w:after="160" w:line="320" w:lineRule="auto"/>
        <w:ind w:firstLine="403"/>
        <w:jc w:val="both"/>
      </w:pPr>
      <w:r>
        <w:rPr>
          <w:rFonts w:ascii="Calibri" w:hAnsi="Calibri" w:eastAsia="宋体"/>
          <w:b w:val="0"/>
          <w:i w:val="0"/>
          <w:color w:val="1F2D3D"/>
          <w:sz w:val="21"/>
        </w:rPr>
        <w:t>在相同的独立测试 pkl 上，现有 GRU 模型的 MAE 为 2.1776 K、R² 为 0.997453；GRU-ODE 的 MAE 为 1.3578 K、R² 为 0.997945。按当前权重计算，MAE 相对降低 37.64%，参数量仅增加约 4.86%。从总览曲线看，改进主要体现在高温初始阶段、快速降温转折与部分平台偏差。</w:t>
      </w:r>
    </w:p>
    <w:tbl>
      <w:tblPr>
        <w:tblStyle w:val="32"/>
        <w:tblW w:w="9360" w:type="dxa"/>
        <w:tblInd w:w="120" w:type="dxa"/>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Layout w:type="fixed"/>
        <w:tblCellMar>
          <w:top w:w="0" w:type="dxa"/>
          <w:left w:w="108" w:type="dxa"/>
          <w:bottom w:w="0" w:type="dxa"/>
          <w:right w:w="108" w:type="dxa"/>
        </w:tblCellMar>
      </w:tblPr>
      <w:tblGrid>
        <w:gridCol w:w="1728"/>
        <w:gridCol w:w="1152"/>
        <w:gridCol w:w="1584"/>
        <w:gridCol w:w="1440"/>
        <w:gridCol w:w="1440"/>
        <w:gridCol w:w="2016"/>
      </w:tblGrid>
      <w:tr w14:paraId="72326BC6">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rPr>
          <w:tblHeader/>
        </w:trPr>
        <w:tc>
          <w:tcPr>
            <w:tcW w:w="1728" w:type="dxa"/>
            <w:shd w:val="clear" w:color="auto" w:fill="F3F5F7"/>
            <w:tcMar>
              <w:top w:w="90" w:type="dxa"/>
              <w:left w:w="120" w:type="dxa"/>
              <w:bottom w:w="90" w:type="dxa"/>
              <w:right w:w="120" w:type="dxa"/>
            </w:tcMar>
            <w:vAlign w:val="center"/>
          </w:tcPr>
          <w:p w14:paraId="540DF902">
            <w:pPr>
              <w:spacing w:after="0"/>
              <w:jc w:val="center"/>
            </w:pPr>
            <w:r>
              <w:rPr>
                <w:rFonts w:ascii="Calibri" w:hAnsi="Calibri" w:eastAsia="宋体"/>
                <w:b/>
                <w:i w:val="0"/>
                <w:color w:val="1F4E79"/>
                <w:sz w:val="18"/>
              </w:rPr>
              <w:t>模型</w:t>
            </w:r>
          </w:p>
        </w:tc>
        <w:tc>
          <w:tcPr>
            <w:tcW w:w="1152" w:type="dxa"/>
            <w:shd w:val="clear" w:color="auto" w:fill="F3F5F7"/>
            <w:tcMar>
              <w:top w:w="90" w:type="dxa"/>
              <w:left w:w="120" w:type="dxa"/>
              <w:bottom w:w="90" w:type="dxa"/>
              <w:right w:w="120" w:type="dxa"/>
            </w:tcMar>
            <w:vAlign w:val="center"/>
          </w:tcPr>
          <w:p w14:paraId="277F1CD1">
            <w:pPr>
              <w:spacing w:after="0"/>
              <w:jc w:val="center"/>
            </w:pPr>
            <w:r>
              <w:rPr>
                <w:rFonts w:ascii="Calibri" w:hAnsi="Calibri" w:eastAsia="宋体"/>
                <w:b/>
                <w:i w:val="0"/>
                <w:color w:val="1F4E79"/>
                <w:sz w:val="18"/>
              </w:rPr>
              <w:t>特征数</w:t>
            </w:r>
          </w:p>
        </w:tc>
        <w:tc>
          <w:tcPr>
            <w:tcW w:w="1584" w:type="dxa"/>
            <w:shd w:val="clear" w:color="auto" w:fill="F3F5F7"/>
            <w:tcMar>
              <w:top w:w="90" w:type="dxa"/>
              <w:left w:w="120" w:type="dxa"/>
              <w:bottom w:w="90" w:type="dxa"/>
              <w:right w:w="120" w:type="dxa"/>
            </w:tcMar>
            <w:vAlign w:val="center"/>
          </w:tcPr>
          <w:p w14:paraId="46B5BD0A">
            <w:pPr>
              <w:spacing w:after="0"/>
              <w:jc w:val="center"/>
            </w:pPr>
            <w:r>
              <w:rPr>
                <w:rFonts w:ascii="Calibri" w:hAnsi="Calibri" w:eastAsia="宋体"/>
                <w:b/>
                <w:i w:val="0"/>
                <w:color w:val="1F4E79"/>
                <w:sz w:val="18"/>
              </w:rPr>
              <w:t>参数量</w:t>
            </w:r>
          </w:p>
        </w:tc>
        <w:tc>
          <w:tcPr>
            <w:tcW w:w="1440" w:type="dxa"/>
            <w:shd w:val="clear" w:color="auto" w:fill="F3F5F7"/>
            <w:tcMar>
              <w:top w:w="90" w:type="dxa"/>
              <w:left w:w="120" w:type="dxa"/>
              <w:bottom w:w="90" w:type="dxa"/>
              <w:right w:w="120" w:type="dxa"/>
            </w:tcMar>
            <w:vAlign w:val="center"/>
          </w:tcPr>
          <w:p w14:paraId="237DC51A">
            <w:pPr>
              <w:spacing w:after="0"/>
              <w:jc w:val="center"/>
            </w:pPr>
            <w:r>
              <w:rPr>
                <w:rFonts w:ascii="Calibri" w:hAnsi="Calibri" w:eastAsia="宋体"/>
                <w:b/>
                <w:i w:val="0"/>
                <w:color w:val="1F4E79"/>
                <w:sz w:val="18"/>
              </w:rPr>
              <w:t>MAE (K)</w:t>
            </w:r>
          </w:p>
        </w:tc>
        <w:tc>
          <w:tcPr>
            <w:tcW w:w="1440" w:type="dxa"/>
            <w:shd w:val="clear" w:color="auto" w:fill="F3F5F7"/>
            <w:tcMar>
              <w:top w:w="90" w:type="dxa"/>
              <w:left w:w="120" w:type="dxa"/>
              <w:bottom w:w="90" w:type="dxa"/>
              <w:right w:w="120" w:type="dxa"/>
            </w:tcMar>
            <w:vAlign w:val="center"/>
          </w:tcPr>
          <w:p w14:paraId="448B1FC9">
            <w:pPr>
              <w:spacing w:after="0"/>
              <w:jc w:val="center"/>
            </w:pPr>
            <w:r>
              <w:rPr>
                <w:rFonts w:ascii="Calibri" w:hAnsi="Calibri" w:eastAsia="宋体"/>
                <w:b/>
                <w:i w:val="0"/>
                <w:color w:val="1F4E79"/>
                <w:sz w:val="18"/>
              </w:rPr>
              <w:t>R²</w:t>
            </w:r>
          </w:p>
        </w:tc>
        <w:tc>
          <w:tcPr>
            <w:tcW w:w="2016" w:type="dxa"/>
            <w:shd w:val="clear" w:color="auto" w:fill="F3F5F7"/>
            <w:tcMar>
              <w:top w:w="90" w:type="dxa"/>
              <w:left w:w="120" w:type="dxa"/>
              <w:bottom w:w="90" w:type="dxa"/>
              <w:right w:w="120" w:type="dxa"/>
            </w:tcMar>
            <w:vAlign w:val="center"/>
          </w:tcPr>
          <w:p w14:paraId="3C2A2C20">
            <w:pPr>
              <w:spacing w:after="0"/>
              <w:jc w:val="center"/>
            </w:pPr>
            <w:r>
              <w:rPr>
                <w:rFonts w:ascii="Calibri" w:hAnsi="Calibri" w:eastAsia="宋体"/>
                <w:b/>
                <w:i w:val="0"/>
                <w:color w:val="1F4E79"/>
                <w:sz w:val="18"/>
              </w:rPr>
              <w:t>MAE 相对变化</w:t>
            </w:r>
          </w:p>
        </w:tc>
      </w:tr>
      <w:tr w14:paraId="4F6268CB">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1728" w:type="dxa"/>
            <w:tcMar>
              <w:top w:w="90" w:type="dxa"/>
              <w:left w:w="120" w:type="dxa"/>
              <w:bottom w:w="90" w:type="dxa"/>
              <w:right w:w="120" w:type="dxa"/>
            </w:tcMar>
            <w:vAlign w:val="center"/>
          </w:tcPr>
          <w:p w14:paraId="620C7B6B">
            <w:pPr>
              <w:spacing w:after="0" w:line="264" w:lineRule="auto"/>
              <w:jc w:val="center"/>
            </w:pPr>
            <w:r>
              <w:rPr>
                <w:rFonts w:ascii="Calibri" w:hAnsi="Calibri" w:eastAsia="宋体"/>
                <w:b w:val="0"/>
                <w:i w:val="0"/>
                <w:color w:val="1F2D3D"/>
                <w:sz w:val="18"/>
              </w:rPr>
              <w:t>GRU 基线</w:t>
            </w:r>
          </w:p>
        </w:tc>
        <w:tc>
          <w:tcPr>
            <w:tcW w:w="1152" w:type="dxa"/>
            <w:tcMar>
              <w:top w:w="90" w:type="dxa"/>
              <w:left w:w="120" w:type="dxa"/>
              <w:bottom w:w="90" w:type="dxa"/>
              <w:right w:w="120" w:type="dxa"/>
            </w:tcMar>
            <w:vAlign w:val="center"/>
          </w:tcPr>
          <w:p w14:paraId="2D5373D8">
            <w:pPr>
              <w:spacing w:after="0" w:line="264" w:lineRule="auto"/>
              <w:jc w:val="left"/>
            </w:pPr>
            <w:r>
              <w:rPr>
                <w:rFonts w:ascii="Calibri" w:hAnsi="Calibri" w:eastAsia="宋体"/>
                <w:b w:val="0"/>
                <w:i w:val="0"/>
                <w:color w:val="1F2D3D"/>
                <w:sz w:val="18"/>
              </w:rPr>
              <w:t>37</w:t>
            </w:r>
          </w:p>
        </w:tc>
        <w:tc>
          <w:tcPr>
            <w:tcW w:w="1584" w:type="dxa"/>
            <w:tcMar>
              <w:top w:w="90" w:type="dxa"/>
              <w:left w:w="120" w:type="dxa"/>
              <w:bottom w:w="90" w:type="dxa"/>
              <w:right w:w="120" w:type="dxa"/>
            </w:tcMar>
            <w:vAlign w:val="center"/>
          </w:tcPr>
          <w:p w14:paraId="463FBCEF">
            <w:pPr>
              <w:spacing w:after="0" w:line="264" w:lineRule="auto"/>
              <w:jc w:val="left"/>
            </w:pPr>
            <w:r>
              <w:rPr>
                <w:rFonts w:ascii="Calibri" w:hAnsi="Calibri" w:eastAsia="宋体"/>
                <w:b w:val="0"/>
                <w:i w:val="0"/>
                <w:color w:val="1F2D3D"/>
                <w:sz w:val="18"/>
              </w:rPr>
              <w:t>167,550</w:t>
            </w:r>
          </w:p>
        </w:tc>
        <w:tc>
          <w:tcPr>
            <w:tcW w:w="1440" w:type="dxa"/>
            <w:tcMar>
              <w:top w:w="90" w:type="dxa"/>
              <w:left w:w="120" w:type="dxa"/>
              <w:bottom w:w="90" w:type="dxa"/>
              <w:right w:w="120" w:type="dxa"/>
            </w:tcMar>
            <w:vAlign w:val="center"/>
          </w:tcPr>
          <w:p w14:paraId="49C81DE1">
            <w:pPr>
              <w:spacing w:after="0" w:line="264" w:lineRule="auto"/>
              <w:jc w:val="left"/>
            </w:pPr>
            <w:r>
              <w:rPr>
                <w:rFonts w:ascii="Calibri" w:hAnsi="Calibri" w:eastAsia="宋体"/>
                <w:b w:val="0"/>
                <w:i w:val="0"/>
                <w:color w:val="1F2D3D"/>
                <w:sz w:val="18"/>
              </w:rPr>
              <w:t>2.1776</w:t>
            </w:r>
          </w:p>
        </w:tc>
        <w:tc>
          <w:tcPr>
            <w:tcW w:w="1440" w:type="dxa"/>
            <w:tcMar>
              <w:top w:w="90" w:type="dxa"/>
              <w:left w:w="120" w:type="dxa"/>
              <w:bottom w:w="90" w:type="dxa"/>
              <w:right w:w="120" w:type="dxa"/>
            </w:tcMar>
            <w:vAlign w:val="center"/>
          </w:tcPr>
          <w:p w14:paraId="31FB0368">
            <w:pPr>
              <w:spacing w:after="0" w:line="264" w:lineRule="auto"/>
              <w:jc w:val="left"/>
            </w:pPr>
            <w:r>
              <w:rPr>
                <w:rFonts w:ascii="Calibri" w:hAnsi="Calibri" w:eastAsia="宋体"/>
                <w:b w:val="0"/>
                <w:i w:val="0"/>
                <w:color w:val="1F2D3D"/>
                <w:sz w:val="18"/>
              </w:rPr>
              <w:t>0.997453</w:t>
            </w:r>
          </w:p>
        </w:tc>
        <w:tc>
          <w:tcPr>
            <w:tcW w:w="2016" w:type="dxa"/>
            <w:tcMar>
              <w:top w:w="90" w:type="dxa"/>
              <w:left w:w="120" w:type="dxa"/>
              <w:bottom w:w="90" w:type="dxa"/>
              <w:right w:w="120" w:type="dxa"/>
            </w:tcMar>
            <w:vAlign w:val="center"/>
          </w:tcPr>
          <w:p w14:paraId="5950449A">
            <w:pPr>
              <w:spacing w:after="0" w:line="264" w:lineRule="auto"/>
              <w:jc w:val="left"/>
            </w:pPr>
            <w:r>
              <w:rPr>
                <w:rFonts w:ascii="Calibri" w:hAnsi="Calibri" w:eastAsia="宋体"/>
                <w:b w:val="0"/>
                <w:i w:val="0"/>
                <w:color w:val="1F2D3D"/>
                <w:sz w:val="18"/>
              </w:rPr>
              <w:t>—</w:t>
            </w:r>
          </w:p>
        </w:tc>
      </w:tr>
      <w:tr w14:paraId="2F6C80F3">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1728" w:type="dxa"/>
            <w:tcMar>
              <w:top w:w="90" w:type="dxa"/>
              <w:left w:w="120" w:type="dxa"/>
              <w:bottom w:w="90" w:type="dxa"/>
              <w:right w:w="120" w:type="dxa"/>
            </w:tcMar>
            <w:vAlign w:val="center"/>
          </w:tcPr>
          <w:p w14:paraId="3075C29D">
            <w:pPr>
              <w:spacing w:after="0" w:line="264" w:lineRule="auto"/>
              <w:jc w:val="center"/>
            </w:pPr>
            <w:r>
              <w:rPr>
                <w:rFonts w:ascii="Calibri" w:hAnsi="Calibri" w:eastAsia="宋体"/>
                <w:b w:val="0"/>
                <w:i w:val="0"/>
                <w:color w:val="1F2D3D"/>
                <w:sz w:val="18"/>
              </w:rPr>
              <w:t>GRU-ODE</w:t>
            </w:r>
          </w:p>
        </w:tc>
        <w:tc>
          <w:tcPr>
            <w:tcW w:w="1152" w:type="dxa"/>
            <w:tcMar>
              <w:top w:w="90" w:type="dxa"/>
              <w:left w:w="120" w:type="dxa"/>
              <w:bottom w:w="90" w:type="dxa"/>
              <w:right w:w="120" w:type="dxa"/>
            </w:tcMar>
            <w:vAlign w:val="center"/>
          </w:tcPr>
          <w:p w14:paraId="3E1F5052">
            <w:pPr>
              <w:spacing w:after="0" w:line="264" w:lineRule="auto"/>
              <w:jc w:val="left"/>
            </w:pPr>
            <w:r>
              <w:rPr>
                <w:rFonts w:ascii="Calibri" w:hAnsi="Calibri" w:eastAsia="宋体"/>
                <w:b w:val="0"/>
                <w:i w:val="0"/>
                <w:color w:val="1F2D3D"/>
                <w:sz w:val="18"/>
              </w:rPr>
              <w:t>32</w:t>
            </w:r>
          </w:p>
        </w:tc>
        <w:tc>
          <w:tcPr>
            <w:tcW w:w="1584" w:type="dxa"/>
            <w:tcMar>
              <w:top w:w="90" w:type="dxa"/>
              <w:left w:w="120" w:type="dxa"/>
              <w:bottom w:w="90" w:type="dxa"/>
              <w:right w:w="120" w:type="dxa"/>
            </w:tcMar>
            <w:vAlign w:val="center"/>
          </w:tcPr>
          <w:p w14:paraId="5C5C7F61">
            <w:pPr>
              <w:spacing w:after="0" w:line="264" w:lineRule="auto"/>
              <w:jc w:val="left"/>
            </w:pPr>
            <w:r>
              <w:rPr>
                <w:rFonts w:ascii="Calibri" w:hAnsi="Calibri" w:eastAsia="宋体"/>
                <w:b w:val="0"/>
                <w:i w:val="0"/>
                <w:color w:val="1F2D3D"/>
                <w:sz w:val="18"/>
              </w:rPr>
              <w:t>175,688</w:t>
            </w:r>
          </w:p>
        </w:tc>
        <w:tc>
          <w:tcPr>
            <w:tcW w:w="1440" w:type="dxa"/>
            <w:tcMar>
              <w:top w:w="90" w:type="dxa"/>
              <w:left w:w="120" w:type="dxa"/>
              <w:bottom w:w="90" w:type="dxa"/>
              <w:right w:w="120" w:type="dxa"/>
            </w:tcMar>
            <w:vAlign w:val="center"/>
          </w:tcPr>
          <w:p w14:paraId="28B71050">
            <w:pPr>
              <w:spacing w:after="0" w:line="264" w:lineRule="auto"/>
              <w:jc w:val="left"/>
            </w:pPr>
            <w:r>
              <w:rPr>
                <w:rFonts w:ascii="Calibri" w:hAnsi="Calibri" w:eastAsia="宋体"/>
                <w:b w:val="0"/>
                <w:i w:val="0"/>
                <w:color w:val="1F2D3D"/>
                <w:sz w:val="18"/>
              </w:rPr>
              <w:t>1.3578</w:t>
            </w:r>
          </w:p>
        </w:tc>
        <w:tc>
          <w:tcPr>
            <w:tcW w:w="1440" w:type="dxa"/>
            <w:tcMar>
              <w:top w:w="90" w:type="dxa"/>
              <w:left w:w="120" w:type="dxa"/>
              <w:bottom w:w="90" w:type="dxa"/>
              <w:right w:w="120" w:type="dxa"/>
            </w:tcMar>
            <w:vAlign w:val="center"/>
          </w:tcPr>
          <w:p w14:paraId="29B947C9">
            <w:pPr>
              <w:spacing w:after="0" w:line="264" w:lineRule="auto"/>
              <w:jc w:val="left"/>
            </w:pPr>
            <w:r>
              <w:rPr>
                <w:rFonts w:ascii="Calibri" w:hAnsi="Calibri" w:eastAsia="宋体"/>
                <w:b w:val="0"/>
                <w:i w:val="0"/>
                <w:color w:val="1F2D3D"/>
                <w:sz w:val="18"/>
              </w:rPr>
              <w:t>0.997945</w:t>
            </w:r>
          </w:p>
        </w:tc>
        <w:tc>
          <w:tcPr>
            <w:tcW w:w="2016" w:type="dxa"/>
            <w:tcMar>
              <w:top w:w="90" w:type="dxa"/>
              <w:left w:w="120" w:type="dxa"/>
              <w:bottom w:w="90" w:type="dxa"/>
              <w:right w:w="120" w:type="dxa"/>
            </w:tcMar>
            <w:vAlign w:val="center"/>
          </w:tcPr>
          <w:p w14:paraId="6C1C7AAC">
            <w:pPr>
              <w:spacing w:after="0" w:line="264" w:lineRule="auto"/>
              <w:jc w:val="left"/>
            </w:pPr>
            <w:r>
              <w:rPr>
                <w:rFonts w:ascii="Calibri" w:hAnsi="Calibri" w:eastAsia="宋体"/>
                <w:b w:val="0"/>
                <w:i w:val="0"/>
                <w:color w:val="1F2D3D"/>
                <w:sz w:val="18"/>
              </w:rPr>
              <w:t>−37.64%</w:t>
            </w:r>
          </w:p>
        </w:tc>
      </w:tr>
    </w:tbl>
    <w:p w14:paraId="008F6BC3">
      <w:pPr>
        <w:spacing w:before="80" w:after="120"/>
      </w:pPr>
      <w:r>
        <w:rPr>
          <w:rFonts w:ascii="Calibri" w:hAnsi="Calibri" w:eastAsia="宋体"/>
          <w:b w:val="0"/>
          <w:i w:val="0"/>
          <w:color w:val="5F6973"/>
          <w:sz w:val="17"/>
        </w:rPr>
        <w:t>注：单次已保存权重的初步结果；两模型特征与损失未完全对齐，不能把全部提升归因于 ODE。</w:t>
      </w:r>
    </w:p>
    <w:p w14:paraId="6349E81D">
      <w:pPr>
        <w:pBdr>
          <w:left w:val="single" w:color="0070C0" w:sz="18" w:space="5"/>
        </w:pBdr>
        <w:shd w:val="clear" w:fill="EAF2F8"/>
        <w:spacing w:before="80" w:after="140" w:line="276" w:lineRule="auto"/>
        <w:ind w:left="115" w:right="115"/>
      </w:pPr>
      <w:r>
        <w:rPr>
          <w:rFonts w:ascii="Calibri" w:hAnsi="Calibri" w:eastAsia="宋体"/>
          <w:b/>
          <w:i w:val="0"/>
          <w:color w:val="0070C0"/>
          <w:sz w:val="20"/>
        </w:rPr>
        <w:t xml:space="preserve">【图表占位】 </w:t>
      </w:r>
      <w:r>
        <w:rPr>
          <w:rFonts w:ascii="Calibri" w:hAnsi="Calibri" w:eastAsia="宋体"/>
          <w:b w:val="0"/>
          <w:i w:val="0"/>
          <w:color w:val="0070C0"/>
          <w:sz w:val="20"/>
        </w:rPr>
        <w:t>图 4 全测试段预测结果：重新导出矢量 PDF/EPS。上图显示实测与预测温度，下图显示残差；横轴为真实时间，标注主要工况和阀门事件，避免将 18,000 点全部压缩在一幅超宽 PNG 中。总览与局部放大分开。</w:t>
      </w:r>
    </w:p>
    <w:p w14:paraId="34CB0735">
      <w:pPr>
        <w:pBdr>
          <w:left w:val="single" w:color="0070C0" w:sz="18" w:space="5"/>
        </w:pBdr>
        <w:shd w:val="clear" w:fill="EAF2F8"/>
        <w:spacing w:before="80" w:after="140" w:line="276" w:lineRule="auto"/>
        <w:ind w:left="115" w:right="115"/>
      </w:pPr>
      <w:r>
        <w:rPr>
          <w:rFonts w:ascii="Calibri" w:hAnsi="Calibri" w:eastAsia="宋体"/>
          <w:b/>
          <w:i w:val="0"/>
          <w:color w:val="0070C0"/>
          <w:sz w:val="20"/>
        </w:rPr>
        <w:t xml:space="preserve">【图表占位】 </w:t>
      </w:r>
      <w:r>
        <w:rPr>
          <w:rFonts w:ascii="Calibri" w:hAnsi="Calibri" w:eastAsia="宋体"/>
          <w:b w:val="0"/>
          <w:i w:val="0"/>
          <w:color w:val="0070C0"/>
          <w:sz w:val="20"/>
        </w:rPr>
        <w:t>图 5 局部动态响应：选择高温初段、约 45 K 快降转折、低温平台和最终降温四个窗口，每个窗口同时展示真实值、GRU、GRU-ODE、主要阀门开度和误差；窗口选择规则需预先定义，避免只展示最好片段。</w:t>
      </w:r>
    </w:p>
    <w:p w14:paraId="02BA1AC8">
      <w:pPr>
        <w:pBdr>
          <w:left w:val="single" w:color="C00000" w:sz="18" w:space="5"/>
        </w:pBdr>
        <w:shd w:val="clear" w:fill="FDE9E7"/>
        <w:spacing w:before="80" w:after="140" w:line="276" w:lineRule="auto"/>
        <w:ind w:left="115" w:right="115"/>
      </w:pPr>
      <w:r>
        <w:rPr>
          <w:rFonts w:ascii="Calibri" w:hAnsi="Calibri" w:eastAsia="宋体"/>
          <w:b/>
          <w:i w:val="0"/>
          <w:color w:val="C00000"/>
          <w:sz w:val="20"/>
        </w:rPr>
        <w:t xml:space="preserve">【结论边界】 </w:t>
      </w:r>
      <w:r>
        <w:rPr>
          <w:rFonts w:ascii="Calibri" w:hAnsi="Calibri" w:eastAsia="宋体"/>
          <w:b w:val="0"/>
          <w:i w:val="0"/>
          <w:color w:val="C00000"/>
          <w:sz w:val="20"/>
        </w:rPr>
        <w:t>GRU-ODE 使用 32 个特征并增加下界损失，而 GRU 使用 37 个特征且无下界损失。当前数据支持“现有完整配置优于现有基线配置”，尚不支持“ODE 模块单独带来 37.6% 提升”。</w:t>
      </w:r>
    </w:p>
    <w:p w14:paraId="22C6CBC5">
      <w:pPr>
        <w:pStyle w:val="4"/>
        <w:keepNext/>
        <w:keepLines/>
      </w:pPr>
      <w:r>
        <w:t>6.2 物理一致性</w:t>
      </w:r>
    </w:p>
    <w:p w14:paraId="1D65D761">
      <w:pPr>
        <w:spacing w:before="0" w:after="160" w:line="320" w:lineRule="auto"/>
        <w:ind w:firstLine="403"/>
        <w:jc w:val="both"/>
      </w:pPr>
      <w:r>
        <w:rPr>
          <w:rFonts w:ascii="Calibri" w:hAnsi="Calibri" w:eastAsia="宋体"/>
          <w:b w:val="0"/>
          <w:i w:val="0"/>
          <w:color w:val="1F2D3D"/>
          <w:sz w:val="21"/>
        </w:rPr>
        <w:t>验证集保存的反事实违反率见表 4。GRU-ODE 对 CV8300 的违反率低于 GRU，但对 CV8310 与 CV8351 的违反率更高，说明精度提升未自动转化为更强的全阀门单调一致性。单调损失为软约束，违反率还受阀门饱和、控制耦合和反事实样本定义影响。</w:t>
      </w:r>
    </w:p>
    <w:tbl>
      <w:tblPr>
        <w:tblStyle w:val="32"/>
        <w:tblW w:w="9360" w:type="dxa"/>
        <w:tblInd w:w="120" w:type="dxa"/>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Layout w:type="fixed"/>
        <w:tblCellMar>
          <w:top w:w="0" w:type="dxa"/>
          <w:left w:w="108" w:type="dxa"/>
          <w:bottom w:w="0" w:type="dxa"/>
          <w:right w:w="108" w:type="dxa"/>
        </w:tblCellMar>
      </w:tblPr>
      <w:tblGrid>
        <w:gridCol w:w="2160"/>
        <w:gridCol w:w="2376"/>
        <w:gridCol w:w="2376"/>
        <w:gridCol w:w="2448"/>
      </w:tblGrid>
      <w:tr w14:paraId="0BBF28D6">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rPr>
          <w:tblHeader/>
        </w:trPr>
        <w:tc>
          <w:tcPr>
            <w:tcW w:w="2160" w:type="dxa"/>
            <w:shd w:val="clear" w:color="auto" w:fill="F3F5F7"/>
            <w:tcMar>
              <w:top w:w="90" w:type="dxa"/>
              <w:left w:w="120" w:type="dxa"/>
              <w:bottom w:w="90" w:type="dxa"/>
              <w:right w:w="120" w:type="dxa"/>
            </w:tcMar>
            <w:vAlign w:val="center"/>
          </w:tcPr>
          <w:p w14:paraId="36BF68A9">
            <w:pPr>
              <w:spacing w:after="0"/>
              <w:jc w:val="center"/>
            </w:pPr>
            <w:r>
              <w:rPr>
                <w:rFonts w:ascii="Calibri" w:hAnsi="Calibri" w:eastAsia="宋体"/>
                <w:b/>
                <w:i w:val="0"/>
                <w:color w:val="1F4E79"/>
                <w:sz w:val="18"/>
              </w:rPr>
              <w:t>模型</w:t>
            </w:r>
          </w:p>
        </w:tc>
        <w:tc>
          <w:tcPr>
            <w:tcW w:w="2376" w:type="dxa"/>
            <w:shd w:val="clear" w:color="auto" w:fill="F3F5F7"/>
            <w:tcMar>
              <w:top w:w="90" w:type="dxa"/>
              <w:left w:w="120" w:type="dxa"/>
              <w:bottom w:w="90" w:type="dxa"/>
              <w:right w:w="120" w:type="dxa"/>
            </w:tcMar>
            <w:vAlign w:val="center"/>
          </w:tcPr>
          <w:p w14:paraId="3DF9B4BE">
            <w:pPr>
              <w:spacing w:after="0"/>
              <w:jc w:val="center"/>
            </w:pPr>
            <w:r>
              <w:rPr>
                <w:rFonts w:ascii="Calibri" w:hAnsi="Calibri" w:eastAsia="宋体"/>
                <w:b/>
                <w:i w:val="0"/>
                <w:color w:val="1F4E79"/>
                <w:sz w:val="18"/>
              </w:rPr>
              <w:t>CV8310 违反率</w:t>
            </w:r>
          </w:p>
        </w:tc>
        <w:tc>
          <w:tcPr>
            <w:tcW w:w="2376" w:type="dxa"/>
            <w:shd w:val="clear" w:color="auto" w:fill="F3F5F7"/>
            <w:tcMar>
              <w:top w:w="90" w:type="dxa"/>
              <w:left w:w="120" w:type="dxa"/>
              <w:bottom w:w="90" w:type="dxa"/>
              <w:right w:w="120" w:type="dxa"/>
            </w:tcMar>
            <w:vAlign w:val="center"/>
          </w:tcPr>
          <w:p w14:paraId="1E92C2C1">
            <w:pPr>
              <w:spacing w:after="0"/>
              <w:jc w:val="center"/>
            </w:pPr>
            <w:r>
              <w:rPr>
                <w:rFonts w:ascii="Calibri" w:hAnsi="Calibri" w:eastAsia="宋体"/>
                <w:b/>
                <w:i w:val="0"/>
                <w:color w:val="1F4E79"/>
                <w:sz w:val="18"/>
              </w:rPr>
              <w:t>CV8300 违反率</w:t>
            </w:r>
          </w:p>
        </w:tc>
        <w:tc>
          <w:tcPr>
            <w:tcW w:w="2448" w:type="dxa"/>
            <w:shd w:val="clear" w:color="auto" w:fill="F3F5F7"/>
            <w:tcMar>
              <w:top w:w="90" w:type="dxa"/>
              <w:left w:w="120" w:type="dxa"/>
              <w:bottom w:w="90" w:type="dxa"/>
              <w:right w:w="120" w:type="dxa"/>
            </w:tcMar>
            <w:vAlign w:val="center"/>
          </w:tcPr>
          <w:p w14:paraId="5A84D28E">
            <w:pPr>
              <w:spacing w:after="0"/>
              <w:jc w:val="center"/>
            </w:pPr>
            <w:r>
              <w:rPr>
                <w:rFonts w:ascii="Calibri" w:hAnsi="Calibri" w:eastAsia="宋体"/>
                <w:b/>
                <w:i w:val="0"/>
                <w:color w:val="1F4E79"/>
                <w:sz w:val="18"/>
              </w:rPr>
              <w:t>CV8351 违反率</w:t>
            </w:r>
          </w:p>
        </w:tc>
      </w:tr>
      <w:tr w14:paraId="4ABF6114">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2160" w:type="dxa"/>
            <w:tcMar>
              <w:top w:w="90" w:type="dxa"/>
              <w:left w:w="120" w:type="dxa"/>
              <w:bottom w:w="90" w:type="dxa"/>
              <w:right w:w="120" w:type="dxa"/>
            </w:tcMar>
            <w:vAlign w:val="center"/>
          </w:tcPr>
          <w:p w14:paraId="06389789">
            <w:pPr>
              <w:spacing w:after="0" w:line="264" w:lineRule="auto"/>
              <w:jc w:val="center"/>
            </w:pPr>
            <w:r>
              <w:rPr>
                <w:rFonts w:ascii="Calibri" w:hAnsi="Calibri" w:eastAsia="宋体"/>
                <w:b w:val="0"/>
                <w:i w:val="0"/>
                <w:color w:val="1F2D3D"/>
                <w:sz w:val="18"/>
              </w:rPr>
              <w:t>GRU 基线</w:t>
            </w:r>
          </w:p>
        </w:tc>
        <w:tc>
          <w:tcPr>
            <w:tcW w:w="2376" w:type="dxa"/>
            <w:tcMar>
              <w:top w:w="90" w:type="dxa"/>
              <w:left w:w="120" w:type="dxa"/>
              <w:bottom w:w="90" w:type="dxa"/>
              <w:right w:w="120" w:type="dxa"/>
            </w:tcMar>
            <w:vAlign w:val="center"/>
          </w:tcPr>
          <w:p w14:paraId="242FFC0F">
            <w:pPr>
              <w:spacing w:after="0" w:line="264" w:lineRule="auto"/>
              <w:jc w:val="left"/>
            </w:pPr>
            <w:r>
              <w:rPr>
                <w:rFonts w:ascii="Calibri" w:hAnsi="Calibri" w:eastAsia="宋体"/>
                <w:b w:val="0"/>
                <w:i w:val="0"/>
                <w:color w:val="1F2D3D"/>
                <w:sz w:val="18"/>
              </w:rPr>
              <w:t>6.38%</w:t>
            </w:r>
          </w:p>
        </w:tc>
        <w:tc>
          <w:tcPr>
            <w:tcW w:w="2376" w:type="dxa"/>
            <w:tcMar>
              <w:top w:w="90" w:type="dxa"/>
              <w:left w:w="120" w:type="dxa"/>
              <w:bottom w:w="90" w:type="dxa"/>
              <w:right w:w="120" w:type="dxa"/>
            </w:tcMar>
            <w:vAlign w:val="center"/>
          </w:tcPr>
          <w:p w14:paraId="2D113D9F">
            <w:pPr>
              <w:spacing w:after="0" w:line="264" w:lineRule="auto"/>
              <w:jc w:val="left"/>
            </w:pPr>
            <w:r>
              <w:rPr>
                <w:rFonts w:ascii="Calibri" w:hAnsi="Calibri" w:eastAsia="宋体"/>
                <w:b w:val="0"/>
                <w:i w:val="0"/>
                <w:color w:val="1F2D3D"/>
                <w:sz w:val="18"/>
              </w:rPr>
              <w:t>10.64%</w:t>
            </w:r>
          </w:p>
        </w:tc>
        <w:tc>
          <w:tcPr>
            <w:tcW w:w="2448" w:type="dxa"/>
            <w:tcMar>
              <w:top w:w="90" w:type="dxa"/>
              <w:left w:w="120" w:type="dxa"/>
              <w:bottom w:w="90" w:type="dxa"/>
              <w:right w:w="120" w:type="dxa"/>
            </w:tcMar>
            <w:vAlign w:val="center"/>
          </w:tcPr>
          <w:p w14:paraId="5C1D1268">
            <w:pPr>
              <w:spacing w:after="0" w:line="264" w:lineRule="auto"/>
              <w:jc w:val="left"/>
            </w:pPr>
            <w:r>
              <w:rPr>
                <w:rFonts w:ascii="Calibri" w:hAnsi="Calibri" w:eastAsia="宋体"/>
                <w:b w:val="0"/>
                <w:i w:val="0"/>
                <w:color w:val="1F2D3D"/>
                <w:sz w:val="18"/>
              </w:rPr>
              <w:t>1.00%</w:t>
            </w:r>
          </w:p>
        </w:tc>
      </w:tr>
      <w:tr w14:paraId="251EEA18">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2160" w:type="dxa"/>
            <w:tcMar>
              <w:top w:w="90" w:type="dxa"/>
              <w:left w:w="120" w:type="dxa"/>
              <w:bottom w:w="90" w:type="dxa"/>
              <w:right w:w="120" w:type="dxa"/>
            </w:tcMar>
            <w:vAlign w:val="center"/>
          </w:tcPr>
          <w:p w14:paraId="0180FA69">
            <w:pPr>
              <w:spacing w:after="0" w:line="264" w:lineRule="auto"/>
              <w:jc w:val="center"/>
            </w:pPr>
            <w:r>
              <w:rPr>
                <w:rFonts w:ascii="Calibri" w:hAnsi="Calibri" w:eastAsia="宋体"/>
                <w:b w:val="0"/>
                <w:i w:val="0"/>
                <w:color w:val="1F2D3D"/>
                <w:sz w:val="18"/>
              </w:rPr>
              <w:t>GRU-ODE</w:t>
            </w:r>
          </w:p>
        </w:tc>
        <w:tc>
          <w:tcPr>
            <w:tcW w:w="2376" w:type="dxa"/>
            <w:tcMar>
              <w:top w:w="90" w:type="dxa"/>
              <w:left w:w="120" w:type="dxa"/>
              <w:bottom w:w="90" w:type="dxa"/>
              <w:right w:w="120" w:type="dxa"/>
            </w:tcMar>
            <w:vAlign w:val="center"/>
          </w:tcPr>
          <w:p w14:paraId="21AB68C6">
            <w:pPr>
              <w:spacing w:after="0" w:line="264" w:lineRule="auto"/>
              <w:jc w:val="left"/>
            </w:pPr>
            <w:r>
              <w:rPr>
                <w:rFonts w:ascii="Calibri" w:hAnsi="Calibri" w:eastAsia="宋体"/>
                <w:b w:val="0"/>
                <w:i w:val="0"/>
                <w:color w:val="1F2D3D"/>
                <w:sz w:val="18"/>
              </w:rPr>
              <w:t>11.93%</w:t>
            </w:r>
          </w:p>
        </w:tc>
        <w:tc>
          <w:tcPr>
            <w:tcW w:w="2376" w:type="dxa"/>
            <w:tcMar>
              <w:top w:w="90" w:type="dxa"/>
              <w:left w:w="120" w:type="dxa"/>
              <w:bottom w:w="90" w:type="dxa"/>
              <w:right w:w="120" w:type="dxa"/>
            </w:tcMar>
            <w:vAlign w:val="center"/>
          </w:tcPr>
          <w:p w14:paraId="7FACAE47">
            <w:pPr>
              <w:spacing w:after="0" w:line="264" w:lineRule="auto"/>
              <w:jc w:val="left"/>
            </w:pPr>
            <w:r>
              <w:rPr>
                <w:rFonts w:ascii="Calibri" w:hAnsi="Calibri" w:eastAsia="宋体"/>
                <w:b w:val="0"/>
                <w:i w:val="0"/>
                <w:color w:val="1F2D3D"/>
                <w:sz w:val="18"/>
              </w:rPr>
              <w:t>8.37%</w:t>
            </w:r>
          </w:p>
        </w:tc>
        <w:tc>
          <w:tcPr>
            <w:tcW w:w="2448" w:type="dxa"/>
            <w:tcMar>
              <w:top w:w="90" w:type="dxa"/>
              <w:left w:w="120" w:type="dxa"/>
              <w:bottom w:w="90" w:type="dxa"/>
              <w:right w:w="120" w:type="dxa"/>
            </w:tcMar>
            <w:vAlign w:val="center"/>
          </w:tcPr>
          <w:p w14:paraId="0E99F573">
            <w:pPr>
              <w:spacing w:after="0" w:line="264" w:lineRule="auto"/>
              <w:jc w:val="left"/>
            </w:pPr>
            <w:r>
              <w:rPr>
                <w:rFonts w:ascii="Calibri" w:hAnsi="Calibri" w:eastAsia="宋体"/>
                <w:b w:val="0"/>
                <w:i w:val="0"/>
                <w:color w:val="1F2D3D"/>
                <w:sz w:val="18"/>
              </w:rPr>
              <w:t>1.83%</w:t>
            </w:r>
          </w:p>
        </w:tc>
      </w:tr>
    </w:tbl>
    <w:p w14:paraId="4CE59AEB">
      <w:pPr>
        <w:spacing w:before="80" w:after="120"/>
      </w:pPr>
      <w:r>
        <w:rPr>
          <w:rFonts w:ascii="Calibri" w:hAnsi="Calibri" w:eastAsia="宋体"/>
          <w:b w:val="0"/>
          <w:i w:val="0"/>
          <w:color w:val="5F6973"/>
          <w:sz w:val="17"/>
        </w:rPr>
        <w:t>注：来自最佳验证检查点的保存元数据；需补充违反幅值、测试集结果及多种扰动幅度。</w:t>
      </w:r>
    </w:p>
    <w:p w14:paraId="2A0FFC2B">
      <w:pPr>
        <w:spacing w:before="0" w:after="160" w:line="320" w:lineRule="auto"/>
        <w:ind w:firstLine="403"/>
        <w:jc w:val="both"/>
      </w:pPr>
      <w:r>
        <w:rPr>
          <w:rFonts w:ascii="Calibri" w:hAnsi="Calibri" w:eastAsia="宋体"/>
          <w:b w:val="0"/>
          <w:i w:val="0"/>
          <w:color w:val="1F2D3D"/>
          <w:sz w:val="21"/>
        </w:rPr>
        <w:t>项目综述中的 80% 开度干预图虽然满足“开大阀门、预测温度下降”的方向，但局部降温幅值可达约 4–11 K，且干预结束后迅速回到基线；这更像模型对历史窗口被整体替换的瞬时敏感性，不能直接解释为真实装置在未来 300 个采样点的响应。根据命题 1，应在训练控制域内逐级测试 1%、3%、5%、10% 扰动，并与真实动作或高保真仿真对照。</w:t>
      </w:r>
    </w:p>
    <w:p w14:paraId="4CAB9E5B">
      <w:pPr>
        <w:pBdr>
          <w:left w:val="single" w:color="C65911" w:sz="18" w:space="5"/>
        </w:pBdr>
        <w:shd w:val="clear" w:fill="FFF2CC"/>
        <w:spacing w:before="80" w:after="140" w:line="276" w:lineRule="auto"/>
        <w:ind w:left="115" w:right="115"/>
      </w:pPr>
      <w:r>
        <w:rPr>
          <w:rFonts w:ascii="Calibri" w:hAnsi="Calibri" w:eastAsia="宋体"/>
          <w:b/>
          <w:i w:val="0"/>
          <w:color w:val="C65911"/>
          <w:sz w:val="20"/>
        </w:rPr>
        <w:t xml:space="preserve">【建议补充实验】 </w:t>
      </w:r>
      <w:r>
        <w:rPr>
          <w:rFonts w:ascii="Calibri" w:hAnsi="Calibri" w:eastAsia="宋体"/>
          <w:b w:val="0"/>
          <w:i w:val="0"/>
          <w:color w:val="C65911"/>
          <w:sz w:val="20"/>
        </w:rPr>
        <w:t>图 6 反事实单调性与幅值：每个主要阀门绘制扰动幅度—预测温度变化曲线，给出中位数、5–95% 区间和违反率；区分“历史整窗扰动”和“未来控制扰动”。不要只展示方向正确的单条曲线。</w:t>
      </w:r>
    </w:p>
    <w:p w14:paraId="540F9B64">
      <w:pPr>
        <w:pBdr>
          <w:left w:val="single" w:color="C00000" w:sz="18" w:space="5"/>
        </w:pBdr>
        <w:shd w:val="clear" w:fill="FDE9E7"/>
        <w:spacing w:before="80" w:after="140" w:line="276" w:lineRule="auto"/>
        <w:ind w:left="115" w:right="115"/>
      </w:pPr>
      <w:r>
        <w:rPr>
          <w:rFonts w:ascii="Calibri" w:hAnsi="Calibri" w:eastAsia="宋体"/>
          <w:b/>
          <w:i w:val="0"/>
          <w:color w:val="C00000"/>
          <w:sz w:val="20"/>
        </w:rPr>
        <w:t xml:space="preserve">【投稿前必须补充】 </w:t>
      </w:r>
      <w:r>
        <w:rPr>
          <w:rFonts w:ascii="Calibri" w:hAnsi="Calibri" w:eastAsia="宋体"/>
          <w:b w:val="0"/>
          <w:i w:val="0"/>
          <w:color w:val="C00000"/>
          <w:sz w:val="20"/>
        </w:rPr>
        <w:t>下界约束结果：计算测试集 T̂_(t+H)&lt;TE8351_(t+H) 的比例、平均幅值和最大幅值，并与去掉 L_lb 的 GRU-ODE 对照。当前检查点未保存该指标。</w:t>
      </w:r>
    </w:p>
    <w:p w14:paraId="67938948">
      <w:pPr>
        <w:pStyle w:val="4"/>
        <w:keepNext/>
        <w:keepLines/>
      </w:pPr>
      <w:r>
        <w:t>6.3 误差来源与工程含义</w:t>
      </w:r>
    </w:p>
    <w:p w14:paraId="0F9E3ED2">
      <w:pPr>
        <w:spacing w:before="0" w:after="160" w:line="320" w:lineRule="auto"/>
        <w:ind w:firstLine="403"/>
        <w:jc w:val="both"/>
      </w:pPr>
      <w:r>
        <w:rPr>
          <w:rFonts w:ascii="Calibri" w:hAnsi="Calibri" w:eastAsia="宋体"/>
          <w:b w:val="0"/>
          <w:i w:val="0"/>
          <w:color w:val="1F2D3D"/>
          <w:sz w:val="21"/>
        </w:rPr>
        <w:t>现有测试曲线包含长平台和少量急剧转折。GRU 基线在约 290 K 的初段出现明显欠预测，在中高温缓降段存在持续偏差；GRU-ODE 对多数阶段的跟随更紧，但在最终突降附近仍有相位和幅值误差。这些误差可能来自三方面：一是固定 60 点历史不足以区分相似温度而不同阀门状态；二是只用末端控制向量驱动 ODE，忽略未来控制变化；三是滤波与 0 值处理改变了真实阶跃。</w:t>
      </w:r>
    </w:p>
    <w:p w14:paraId="6BE6BA9B">
      <w:pPr>
        <w:spacing w:before="0" w:after="160" w:line="320" w:lineRule="auto"/>
        <w:ind w:firstLine="403"/>
        <w:jc w:val="both"/>
      </w:pPr>
      <w:r>
        <w:rPr>
          <w:rFonts w:ascii="Calibri" w:hAnsi="Calibri" w:eastAsia="宋体"/>
          <w:b w:val="0"/>
          <w:i w:val="0"/>
          <w:color w:val="1F2D3D"/>
          <w:sz w:val="21"/>
        </w:rPr>
        <w:t>对 MPC 而言，全局 R² 并非最关键指标。若控制器需要在 1 s 内筛选几十个方案，模型还必须证明批量推理时延、候选控制序列响应排序、滚动多步误差和安全约束违反率。当前模型可作为单终点代价估计器或滚动框架的组成部分；在完成未来控制序列输入和多节点解码之前，不宜把它表述为已经部署的 MPC 内部模型。</w:t>
      </w:r>
    </w:p>
    <w:p w14:paraId="50E926DD">
      <w:pPr>
        <w:pStyle w:val="3"/>
        <w:keepNext/>
        <w:keepLines/>
      </w:pPr>
      <w:r>
        <w:t>7. 局限性与后续工作</w:t>
      </w:r>
    </w:p>
    <w:p w14:paraId="7C45BCC0">
      <w:pPr>
        <w:spacing w:before="0" w:after="160" w:line="320" w:lineRule="auto"/>
        <w:ind w:firstLine="403"/>
        <w:jc w:val="both"/>
      </w:pPr>
      <w:r>
        <w:rPr>
          <w:rFonts w:ascii="Calibri" w:hAnsi="Calibri" w:eastAsia="宋体"/>
          <w:b w:val="0"/>
          <w:i w:val="0"/>
          <w:color w:val="1F2D3D"/>
          <w:sz w:val="21"/>
        </w:rPr>
        <w:t>本研究的首要局限是独立物理工况数量有限。大量训练记录来自 3 次冷却曲线的扩增，相邻样本高度相关，记录数不能等价为独立样本量。单个 1226 测试批次也不足以评估跨季节、设备维护、传感器漂移和不同操作策略下的泛化。后续应增加独立冷却批次，采用 leave-one-campaign-out 交叉验证，并保留一个从未参与开发的最终盲测批次。</w:t>
      </w:r>
    </w:p>
    <w:p w14:paraId="2EDE7031">
      <w:pPr>
        <w:spacing w:before="0" w:after="160" w:line="320" w:lineRule="auto"/>
        <w:ind w:firstLine="403"/>
        <w:jc w:val="both"/>
      </w:pPr>
      <w:r>
        <w:rPr>
          <w:rFonts w:ascii="Calibri" w:hAnsi="Calibri" w:eastAsia="宋体"/>
          <w:b w:val="0"/>
          <w:i w:val="0"/>
          <w:color w:val="1F2D3D"/>
          <w:sz w:val="21"/>
        </w:rPr>
        <w:t>其次，当前模型的物理信息主要是软约束和代理特征。伪冷量缺少阀门流量系数、压差与管径，单调假设也可能在流量饱和、旁路耦合或换热器状态变化时失效。应由工艺专家定义单调约束的有效域，并考虑将阀门特性曲线、压差或高保真仿真数据引入训练。4C 与 ANN 混合建模的既有研究表明，以仿真覆盖宽工况、再以现场数据校正现实偏差是一条可行路线[2–4]。</w:t>
      </w:r>
    </w:p>
    <w:p w14:paraId="47D20159">
      <w:pPr>
        <w:spacing w:before="0" w:after="160" w:line="320" w:lineRule="auto"/>
        <w:ind w:firstLine="403"/>
        <w:jc w:val="both"/>
      </w:pPr>
      <w:r>
        <w:rPr>
          <w:rFonts w:ascii="Calibri" w:hAnsi="Calibri" w:eastAsia="宋体"/>
          <w:b w:val="0"/>
          <w:i w:val="0"/>
          <w:color w:val="1F2D3D"/>
          <w:sz w:val="21"/>
        </w:rPr>
        <w:t>再次，归一化潜时间 ODE 尚未建立与真实 600 s 的一一对应。未来可令 dz/dt=f(z,u(t),Δt)，使用候选阀门序列作为分段控制，在多个未来时刻解码温度，并通过多时距损失训练。若进一步构建滚动 MPC，应单独分析闭环可行性、约束满足和稳定性；届时才适合借鉴多时域预测控制的收敛证明[11]。</w:t>
      </w:r>
    </w:p>
    <w:p w14:paraId="059D4992">
      <w:pPr>
        <w:spacing w:before="0" w:after="160" w:line="320" w:lineRule="auto"/>
        <w:ind w:firstLine="403"/>
        <w:jc w:val="both"/>
      </w:pPr>
      <w:r>
        <w:rPr>
          <w:rFonts w:ascii="Calibri" w:hAnsi="Calibri" w:eastAsia="宋体"/>
          <w:b w:val="0"/>
          <w:i w:val="0"/>
          <w:color w:val="1F2D3D"/>
          <w:sz w:val="21"/>
        </w:rPr>
        <w:t>最后，应进行不确定性量化。可采用深度集成或 MC dropout 输出预测区间，并以校准误差、覆盖率和区间宽度评价。控制器应在输入超出训练分布或预测区间过宽时回退到保守规则或高保真模型。</w:t>
      </w:r>
    </w:p>
    <w:p w14:paraId="2360ED75">
      <w:pPr>
        <w:pBdr>
          <w:left w:val="single" w:color="C00000" w:sz="18" w:space="5"/>
        </w:pBdr>
        <w:shd w:val="clear" w:fill="FDE9E7"/>
        <w:spacing w:before="80" w:after="140" w:line="276" w:lineRule="auto"/>
        <w:ind w:left="115" w:right="115"/>
      </w:pPr>
      <w:r>
        <w:rPr>
          <w:rFonts w:ascii="Calibri" w:hAnsi="Calibri" w:eastAsia="宋体"/>
          <w:b/>
          <w:i w:val="0"/>
          <w:color w:val="C00000"/>
          <w:sz w:val="20"/>
        </w:rPr>
        <w:t xml:space="preserve">【投稿前必须补充】 </w:t>
      </w:r>
      <w:r>
        <w:rPr>
          <w:rFonts w:ascii="Calibri" w:hAnsi="Calibri" w:eastAsia="宋体"/>
          <w:b w:val="0"/>
          <w:i w:val="0"/>
          <w:color w:val="C00000"/>
          <w:sz w:val="20"/>
        </w:rPr>
        <w:t>投稿前最小实验闭环：修正 0 值与 scaler 泄漏 → 锁定独立分组 → 同特征/同损失消融 → 5 随机种子 → 分温区与事件指标 → 反事实幅值/下界测试 → RK4 收敛 → 推理时延 → 至少两个新增独立冷却批次盲测。</w:t>
      </w:r>
    </w:p>
    <w:p w14:paraId="002A70F3">
      <w:pPr>
        <w:pStyle w:val="3"/>
        <w:keepNext/>
        <w:keepLines/>
      </w:pPr>
      <w:r>
        <w:t>8. 结论</w:t>
      </w:r>
    </w:p>
    <w:p w14:paraId="52C76BC1">
      <w:pPr>
        <w:spacing w:before="0" w:after="160" w:line="320" w:lineRule="auto"/>
        <w:ind w:firstLine="403"/>
        <w:jc w:val="both"/>
      </w:pPr>
      <w:r>
        <w:rPr>
          <w:rFonts w:ascii="Calibri" w:hAnsi="Calibri" w:eastAsia="宋体"/>
          <w:b w:val="0"/>
          <w:i w:val="0"/>
          <w:color w:val="1F2D3D"/>
          <w:sz w:val="21"/>
        </w:rPr>
        <w:t>本文面向超导模组低温测试站阀箱侧的快速温度预测，提出了结合历史序列编码、阀门事件先验、氦物性衍生特征、受控潜变量 ODE 与反事实物理约束的 GRU-ODE 代理模型。在当前一次独立冷却试验上，完整 GRU-ODE 配置取得 1.358 K 的 MAE 和 0.9979 的 R²，相较现有 GRU 基线的 MAE 降低 37.6%，显示了连续潜变量解码对复杂降温轨迹建模的潜力。理论分析表明，在 Lipschitz 条件下潜变量 ODE 具有唯一解，其控制扰动影响受显式指数界约束；该结果同时提示，大幅反事实外推必须限制在经验证的控制域内。由于现有对比仍存在输入特征、下界损失和预处理泄漏等混杂因素，当前结论应视为初步。完成严格同条件重跑、跨批次盲测、多时距控制输入和时延基准后，该模型有望成为低温系统数字孪生、预警与模型预测控制中的快速代理组件。</w:t>
      </w:r>
    </w:p>
    <w:p w14:paraId="2683CAEC">
      <w:pPr>
        <w:pStyle w:val="3"/>
        <w:keepNext/>
        <w:keepLines/>
      </w:pPr>
      <w:r>
        <w:t>CRediT 作者贡献声明</w:t>
      </w:r>
    </w:p>
    <w:p w14:paraId="4EC2F788">
      <w:pPr>
        <w:pBdr>
          <w:left w:val="single" w:color="C00000" w:sz="18" w:space="5"/>
        </w:pBdr>
        <w:shd w:val="clear" w:fill="FDE9E7"/>
        <w:spacing w:before="80" w:after="140" w:line="276" w:lineRule="auto"/>
        <w:ind w:left="115" w:right="115"/>
      </w:pPr>
      <w:r>
        <w:rPr>
          <w:rFonts w:ascii="Calibri" w:hAnsi="Calibri" w:eastAsia="宋体"/>
          <w:b/>
          <w:i w:val="0"/>
          <w:color w:val="C00000"/>
          <w:sz w:val="20"/>
        </w:rPr>
        <w:t xml:space="preserve">【投稿前必须补充】 </w:t>
      </w:r>
      <w:r>
        <w:rPr>
          <w:rFonts w:ascii="Calibri" w:hAnsi="Calibri" w:eastAsia="宋体"/>
          <w:b w:val="0"/>
          <w:i w:val="0"/>
          <w:color w:val="C00000"/>
          <w:sz w:val="20"/>
        </w:rPr>
        <w:t>作者贡献：按 Conceptualization、Methodology、Software、Data curation、Validation、Formal analysis、Visualization、Writing–original draft、Writing–review &amp; editing、Supervision、Funding acquisition 等角色填写。</w:t>
      </w:r>
    </w:p>
    <w:p w14:paraId="46BF9DC8">
      <w:pPr>
        <w:pStyle w:val="3"/>
        <w:keepNext/>
        <w:keepLines/>
      </w:pPr>
      <w:r>
        <w:t>利益冲突声明</w:t>
      </w:r>
    </w:p>
    <w:p w14:paraId="0ED52CCF">
      <w:pPr>
        <w:spacing w:before="0" w:after="160" w:line="320" w:lineRule="auto"/>
        <w:jc w:val="both"/>
      </w:pPr>
      <w:r>
        <w:rPr>
          <w:rFonts w:ascii="Calibri" w:hAnsi="Calibri" w:eastAsia="宋体"/>
          <w:b w:val="0"/>
          <w:i w:val="0"/>
          <w:color w:val="1F2D3D"/>
          <w:sz w:val="21"/>
        </w:rPr>
        <w:t>作者声明不存在可能影响本文工作的已知财务利益或个人关系。</w:t>
      </w:r>
    </w:p>
    <w:p w14:paraId="16267854">
      <w:pPr>
        <w:pStyle w:val="3"/>
        <w:keepNext/>
        <w:keepLines/>
      </w:pPr>
      <w:r>
        <w:t>资金声明</w:t>
      </w:r>
    </w:p>
    <w:p w14:paraId="031B2FE7">
      <w:pPr>
        <w:pBdr>
          <w:left w:val="single" w:color="C00000" w:sz="18" w:space="5"/>
        </w:pBdr>
        <w:shd w:val="clear" w:fill="FDE9E7"/>
        <w:spacing w:before="80" w:after="140" w:line="276" w:lineRule="auto"/>
        <w:ind w:left="115" w:right="115"/>
      </w:pPr>
      <w:r>
        <w:rPr>
          <w:rFonts w:ascii="Calibri" w:hAnsi="Calibri" w:eastAsia="宋体"/>
          <w:b/>
          <w:i w:val="0"/>
          <w:color w:val="C00000"/>
          <w:sz w:val="20"/>
        </w:rPr>
        <w:t xml:space="preserve">【投稿前必须补充】 </w:t>
      </w:r>
      <w:r>
        <w:rPr>
          <w:rFonts w:ascii="Calibri" w:hAnsi="Calibri" w:eastAsia="宋体"/>
          <w:b w:val="0"/>
          <w:i w:val="0"/>
          <w:color w:val="C00000"/>
          <w:sz w:val="20"/>
        </w:rPr>
        <w:t>资金来源：填写项目名称、资助机构与编号；若无专项资助，使用期刊推荐的无专项资助表述。</w:t>
      </w:r>
    </w:p>
    <w:p w14:paraId="136EA4DF">
      <w:pPr>
        <w:pStyle w:val="3"/>
        <w:keepNext/>
        <w:keepLines/>
      </w:pPr>
      <w:r>
        <w:t>数据可用性声明</w:t>
      </w:r>
    </w:p>
    <w:p w14:paraId="7245812A">
      <w:pPr>
        <w:spacing w:before="0" w:after="160" w:line="320" w:lineRule="auto"/>
        <w:jc w:val="both"/>
      </w:pPr>
      <w:r>
        <w:rPr>
          <w:rFonts w:ascii="Calibri" w:hAnsi="Calibri" w:eastAsia="宋体"/>
          <w:b w:val="0"/>
          <w:i w:val="0"/>
          <w:color w:val="1F2D3D"/>
          <w:sz w:val="21"/>
        </w:rPr>
        <w:t>由于测试站运行数据涉及装置运行信息，原始数据暂不公开。在满足机构数据管理与保密要求的前提下，可向通讯作者提出合理申请；用于复现实验的数据处理流程、模型配置和去标识化示例将随修订稿提供。</w:t>
      </w:r>
    </w:p>
    <w:p w14:paraId="5DC0A270">
      <w:pPr>
        <w:pBdr>
          <w:left w:val="single" w:color="C00000" w:sz="18" w:space="5"/>
        </w:pBdr>
        <w:shd w:val="clear" w:fill="FDE9E7"/>
        <w:spacing w:before="80" w:after="140" w:line="276" w:lineRule="auto"/>
        <w:ind w:left="115" w:right="115"/>
      </w:pPr>
      <w:r>
        <w:rPr>
          <w:rFonts w:ascii="Calibri" w:hAnsi="Calibri" w:eastAsia="宋体"/>
          <w:b/>
          <w:i w:val="0"/>
          <w:color w:val="C00000"/>
          <w:sz w:val="20"/>
        </w:rPr>
        <w:t xml:space="preserve">【投稿前必须补充】 </w:t>
      </w:r>
      <w:r>
        <w:rPr>
          <w:rFonts w:ascii="Calibri" w:hAnsi="Calibri" w:eastAsia="宋体"/>
          <w:b w:val="0"/>
          <w:i w:val="0"/>
          <w:color w:val="C00000"/>
          <w:sz w:val="20"/>
        </w:rPr>
        <w:t>数据与代码开放边界：确认哪些原始数据、模型权重、处理脚本和去标识化样例可以公开，并给出仓库 DOI 或访问流程。</w:t>
      </w:r>
    </w:p>
    <w:p w14:paraId="55969B17">
      <w:pPr>
        <w:pStyle w:val="3"/>
        <w:keepNext/>
        <w:keepLines/>
      </w:pPr>
      <w:r>
        <w:t>生成式 AI 使用声明（投稿时按作者最终使用情况调整）</w:t>
      </w:r>
    </w:p>
    <w:p w14:paraId="2DFCE256">
      <w:pPr>
        <w:spacing w:before="0" w:after="160" w:line="320" w:lineRule="auto"/>
        <w:jc w:val="both"/>
      </w:pPr>
      <w:r>
        <w:rPr>
          <w:rFonts w:ascii="Calibri" w:hAnsi="Calibri" w:eastAsia="宋体"/>
          <w:b w:val="0"/>
          <w:i w:val="0"/>
          <w:color w:val="1F2D3D"/>
          <w:sz w:val="21"/>
        </w:rPr>
        <w:t>在本稿准备过程中，作者使用 OpenAI Codex 辅助材料整理、文献线索检索、语言组织和 Word 初稿排版。作者将逐条核验文献、公式、数据与结论，完成必要的修改，并对最终稿全部内容承担责任。</w:t>
      </w:r>
    </w:p>
    <w:p w14:paraId="59C0D964">
      <w:pPr>
        <w:pStyle w:val="3"/>
        <w:keepNext/>
        <w:keepLines/>
      </w:pPr>
      <w:r>
        <w:t>参考文献</w:t>
      </w:r>
    </w:p>
    <w:p w14:paraId="2C871D25">
      <w:pPr>
        <w:spacing w:after="80" w:line="276" w:lineRule="auto"/>
        <w:ind w:left="360" w:hanging="360"/>
      </w:pPr>
      <w:r>
        <w:rPr>
          <w:rFonts w:ascii="Calibri" w:hAnsi="Calibri" w:eastAsia="宋体"/>
          <w:b w:val="0"/>
          <w:i w:val="0"/>
          <w:color w:val="1F2D3D"/>
          <w:sz w:val="17"/>
        </w:rPr>
        <w:t>[1] Savoldi Richard L, Casella F, Fiori B, Zanino R. The 4C code for the cryogenic circuit conductor and coil modeling in ITER. Cryogenics. 2010;50(3):167–176. https://doi.org/10.1016/j.cryogenics.2009.07.008.</w:t>
      </w:r>
    </w:p>
    <w:p w14:paraId="18A74CEE">
      <w:pPr>
        <w:spacing w:after="80" w:line="276" w:lineRule="auto"/>
        <w:ind w:left="360" w:hanging="360"/>
      </w:pPr>
      <w:r>
        <w:rPr>
          <w:rFonts w:ascii="Calibri" w:hAnsi="Calibri" w:eastAsia="宋体"/>
          <w:b w:val="0"/>
          <w:i w:val="0"/>
          <w:color w:val="1F2D3D"/>
          <w:sz w:val="17"/>
        </w:rPr>
        <w:t>[2] Savoldi Richard L, Bonifetto R, Carli S, Zanino R. Modeling of pulsed heat load in a cryogenic SHe loop using artificial neural networks. Cryogenics. 2013;57:173–180. https://doi.org/10.1016/j.cryogenics.2013.07.005.</w:t>
      </w:r>
    </w:p>
    <w:p w14:paraId="0AC90B3E">
      <w:pPr>
        <w:spacing w:after="80" w:line="276" w:lineRule="auto"/>
        <w:ind w:left="360" w:hanging="360"/>
      </w:pPr>
      <w:r>
        <w:rPr>
          <w:rFonts w:ascii="Calibri" w:hAnsi="Calibri" w:eastAsia="宋体"/>
          <w:b w:val="0"/>
          <w:i w:val="0"/>
          <w:color w:val="1F2D3D"/>
          <w:sz w:val="17"/>
        </w:rPr>
        <w:t>[3] Carli S, Bonifetto R, Savoldi L, Zanino R. Incorporating artificial neural networks in the dynamic thermal–hydraulic model of a controlled cryogenic circuit. Cryogenics. 2015;70:9–20. https://doi.org/10.1016/j.cryogenics.2015.04.004.</w:t>
      </w:r>
    </w:p>
    <w:p w14:paraId="52B6BCB5">
      <w:pPr>
        <w:spacing w:after="80" w:line="276" w:lineRule="auto"/>
        <w:ind w:left="360" w:hanging="360"/>
      </w:pPr>
      <w:r>
        <w:rPr>
          <w:rFonts w:ascii="Calibri" w:hAnsi="Calibri" w:eastAsia="宋体"/>
          <w:b w:val="0"/>
          <w:i w:val="0"/>
          <w:color w:val="1F2D3D"/>
          <w:sz w:val="17"/>
        </w:rPr>
        <w:t>[4] Froio A, Bonifetto R, Carli S, Savoldi L, Zanino R. Design and optimization of artificial neural networks for the modelling of superconducting magnets operation in tokamak fusion reactors. J Comput Phys. 2016;321:476–491. https://doi.org/10.1016/j.jcp.2016.05.028.</w:t>
      </w:r>
    </w:p>
    <w:p w14:paraId="27571B7E">
      <w:pPr>
        <w:spacing w:after="80" w:line="276" w:lineRule="auto"/>
        <w:ind w:left="360" w:hanging="360"/>
      </w:pPr>
      <w:r>
        <w:rPr>
          <w:rFonts w:ascii="Calibri" w:hAnsi="Calibri" w:eastAsia="宋体"/>
          <w:b w:val="0"/>
          <w:i w:val="0"/>
          <w:color w:val="1F2D3D"/>
          <w:sz w:val="17"/>
        </w:rPr>
        <w:t>[5] Cho K, van Merriënboer B, Gulcehre C, Bahdanau D, Bougares F, Schwenk H, et al. Learning phrase representations using RNN encoder–decoder for statistical machine translation. In: Proceedings of EMNLP; 2014. p. 1724–1734. https://doi.org/10.3115/v1/D14-1179.</w:t>
      </w:r>
    </w:p>
    <w:p w14:paraId="2E0CE504">
      <w:pPr>
        <w:spacing w:after="80" w:line="276" w:lineRule="auto"/>
        <w:ind w:left="360" w:hanging="360"/>
      </w:pPr>
      <w:r>
        <w:rPr>
          <w:rFonts w:ascii="Calibri" w:hAnsi="Calibri" w:eastAsia="宋体"/>
          <w:b w:val="0"/>
          <w:i w:val="0"/>
          <w:color w:val="1F2D3D"/>
          <w:sz w:val="17"/>
        </w:rPr>
        <w:t>[6] Chen RTQ, Rubanova Y, Bettencourt J, Duvenaud DK. Neural ordinary differential equations. Adv Neural Inf Process Syst. 2018;31:6571–6583.</w:t>
      </w:r>
    </w:p>
    <w:p w14:paraId="4C477299">
      <w:pPr>
        <w:spacing w:after="80" w:line="276" w:lineRule="auto"/>
        <w:ind w:left="360" w:hanging="360"/>
      </w:pPr>
      <w:r>
        <w:rPr>
          <w:rFonts w:ascii="Calibri" w:hAnsi="Calibri" w:eastAsia="宋体"/>
          <w:b w:val="0"/>
          <w:i w:val="0"/>
          <w:color w:val="1F2D3D"/>
          <w:sz w:val="17"/>
        </w:rPr>
        <w:t>[7] De Brouwer E, Simm J, Arany A, Moreau Y. GRU-ODE-Bayes: continuous modeling of sporadically-observed time series. Adv Neural Inf Process Syst. 2019;32.</w:t>
      </w:r>
    </w:p>
    <w:p w14:paraId="25B76113">
      <w:pPr>
        <w:spacing w:after="80" w:line="276" w:lineRule="auto"/>
        <w:ind w:left="360" w:hanging="360"/>
      </w:pPr>
      <w:r>
        <w:rPr>
          <w:rFonts w:ascii="Calibri" w:hAnsi="Calibri" w:eastAsia="宋体"/>
          <w:b w:val="0"/>
          <w:i w:val="0"/>
          <w:color w:val="1F2D3D"/>
          <w:sz w:val="17"/>
        </w:rPr>
        <w:t>[8] Rubanova Y, Chen RTQ, Duvenaud DK. Latent ordinary differential equations for irregularly-sampled time series. Adv Neural Inf Process Syst. 2019;32.</w:t>
      </w:r>
    </w:p>
    <w:p w14:paraId="2A424198">
      <w:pPr>
        <w:spacing w:after="80" w:line="276" w:lineRule="auto"/>
        <w:ind w:left="360" w:hanging="360"/>
      </w:pPr>
      <w:r>
        <w:rPr>
          <w:rFonts w:ascii="Calibri" w:hAnsi="Calibri" w:eastAsia="宋体"/>
          <w:b w:val="0"/>
          <w:i w:val="0"/>
          <w:color w:val="1F2D3D"/>
          <w:sz w:val="17"/>
        </w:rPr>
        <w:t>[9] Yuan Z, Li X, Wu D, Ban X, Wu NQ, Dai HN, et al. Continuous-time prediction of industrial paste thickener system with differential ODE-Net. IEEE/CAA J Autom Sin. 2022;9(4):686–698. https://doi.org/10.1109/JAS.2022.105464.</w:t>
      </w:r>
    </w:p>
    <w:p w14:paraId="1C7F1F37">
      <w:pPr>
        <w:spacing w:after="80" w:line="276" w:lineRule="auto"/>
        <w:ind w:left="360" w:hanging="360"/>
      </w:pPr>
      <w:r>
        <w:rPr>
          <w:rFonts w:ascii="Calibri" w:hAnsi="Calibri" w:eastAsia="宋体"/>
          <w:b w:val="0"/>
          <w:i w:val="0"/>
          <w:color w:val="1F2D3D"/>
          <w:sz w:val="17"/>
        </w:rPr>
        <w:t>[10] Raissi M, Perdikaris P, Karniadakis GE. Physics-informed neural networks: a deep learning framework for solving forward and inverse problems involving nonlinear partial differential equations. J Comput Phys. 2019;378:686–707. https://doi.org/10.1016/j.jcp.2018.10.045.</w:t>
      </w:r>
    </w:p>
    <w:p w14:paraId="426A45DE">
      <w:pPr>
        <w:spacing w:after="80" w:line="276" w:lineRule="auto"/>
        <w:ind w:left="360" w:hanging="360"/>
      </w:pPr>
      <w:r>
        <w:rPr>
          <w:rFonts w:ascii="Calibri" w:hAnsi="Calibri" w:eastAsia="宋体"/>
          <w:b w:val="0"/>
          <w:i w:val="0"/>
          <w:color w:val="1F2D3D"/>
          <w:sz w:val="17"/>
        </w:rPr>
        <w:t>[11] Li H, Guo M, Weng Y, Tong H. Neural predictive control to coordinate discrete- and continuous-time models for time-series analysis with control-theoretical improvements. arXiv:2508.01833; 2025.</w:t>
      </w:r>
    </w:p>
    <w:p w14:paraId="5B667E1A">
      <w:pPr>
        <w:spacing w:after="80" w:line="276" w:lineRule="auto"/>
        <w:ind w:left="360" w:hanging="360"/>
      </w:pPr>
      <w:r>
        <w:rPr>
          <w:rFonts w:ascii="Calibri" w:hAnsi="Calibri" w:eastAsia="宋体"/>
          <w:b w:val="0"/>
          <w:i w:val="0"/>
          <w:color w:val="1F2D3D"/>
          <w:sz w:val="17"/>
        </w:rPr>
        <w:t>[12] Savitzky A, Golay MJE. Smoothing and differentiation of data by simplified least squares procedures. Anal Chem. 1964;36(8):1627–1639. https://doi.org/10.1021/ac60214a047.</w:t>
      </w:r>
    </w:p>
    <w:p w14:paraId="11A14539">
      <w:pPr>
        <w:spacing w:after="80" w:line="276" w:lineRule="auto"/>
        <w:ind w:left="360" w:hanging="360"/>
      </w:pPr>
      <w:r>
        <w:rPr>
          <w:rFonts w:ascii="Calibri" w:hAnsi="Calibri" w:eastAsia="宋体"/>
          <w:b w:val="0"/>
          <w:i w:val="0"/>
          <w:color w:val="1F2D3D"/>
          <w:sz w:val="17"/>
        </w:rPr>
        <w:t>[13] Bell IH, Wronski J, Quoilin S, Lemort V. Pure and pseudo-pure fluid thermophysical property evaluation and the open-source thermophysical property library CoolProp. Ind Eng Chem Res. 2014;53(6):2498–2508. https://doi.org/10.1021/ie4033999.</w:t>
      </w:r>
    </w:p>
    <w:p w14:paraId="3C4275E6">
      <w:pPr>
        <w:spacing w:after="80" w:line="276" w:lineRule="auto"/>
        <w:ind w:left="360" w:hanging="360"/>
      </w:pPr>
      <w:r>
        <w:rPr>
          <w:rFonts w:ascii="Calibri" w:hAnsi="Calibri" w:eastAsia="宋体"/>
          <w:b w:val="0"/>
          <w:i w:val="0"/>
          <w:color w:val="1F2D3D"/>
          <w:sz w:val="17"/>
        </w:rPr>
        <w:t>[14] Coddington EA, Levinson N. Theory of ordinary differential equations. New York: McGraw-Hill; 1955.</w:t>
      </w:r>
    </w:p>
    <w:p w14:paraId="3E397D12">
      <w:pPr>
        <w:spacing w:after="80" w:line="276" w:lineRule="auto"/>
        <w:ind w:left="360" w:hanging="360"/>
      </w:pPr>
      <w:r>
        <w:rPr>
          <w:rFonts w:ascii="Calibri" w:hAnsi="Calibri" w:eastAsia="宋体"/>
          <w:b w:val="0"/>
          <w:i w:val="0"/>
          <w:color w:val="1F2D3D"/>
          <w:sz w:val="17"/>
        </w:rPr>
        <w:t>[15] Hairer E, Nørsett SP, Wanner G. Solving ordinary differential equations I: nonstiff problems. 2nd ed. Berlin: Springer; 1993.</w:t>
      </w:r>
    </w:p>
    <w:p w14:paraId="37A4398F">
      <w:pPr>
        <w:spacing w:after="80" w:line="276" w:lineRule="auto"/>
        <w:ind w:left="360" w:hanging="360"/>
      </w:pPr>
      <w:r>
        <w:rPr>
          <w:rFonts w:ascii="Calibri" w:hAnsi="Calibri" w:eastAsia="宋体"/>
          <w:b w:val="0"/>
          <w:i w:val="0"/>
          <w:color w:val="1F2D3D"/>
          <w:sz w:val="17"/>
        </w:rPr>
        <w:t>[16] Kingma DP, Ba J. Adam: a method for stochastic optimization. In: International Conference on Learning Representations; 2015.</w:t>
      </w:r>
    </w:p>
    <w:p w14:paraId="01D264E2">
      <w:pPr>
        <w:spacing w:after="80" w:line="276" w:lineRule="auto"/>
        <w:ind w:left="360" w:hanging="360"/>
      </w:pPr>
      <w:r>
        <w:rPr>
          <w:rFonts w:ascii="Calibri" w:hAnsi="Calibri" w:eastAsia="宋体"/>
          <w:b w:val="0"/>
          <w:i w:val="0"/>
          <w:color w:val="1F2D3D"/>
          <w:sz w:val="17"/>
        </w:rPr>
        <w:t>[17] Guida P, Roberts WL. Data-driven prediction of interface evolution in multiphase flows using Fourier neural operators. Energy AI. 2026;25:100775. https://doi.org/10.1016/j.egyai.2026.100775.</w:t>
      </w:r>
    </w:p>
    <w:p w14:paraId="08D8A544">
      <w:pPr>
        <w:pStyle w:val="3"/>
        <w:keepNext/>
        <w:keepLines/>
      </w:pPr>
      <w:r>
        <w:t>附录 A. 投稿前实验与制图清单</w:t>
      </w:r>
    </w:p>
    <w:p w14:paraId="0D55EF60">
      <w:pPr>
        <w:spacing w:before="0" w:after="160" w:line="320" w:lineRule="auto"/>
        <w:jc w:val="both"/>
      </w:pPr>
      <w:r>
        <w:rPr>
          <w:rFonts w:ascii="Calibri" w:hAnsi="Calibri" w:eastAsia="宋体"/>
          <w:b w:val="0"/>
          <w:i/>
          <w:color w:val="5F6973"/>
          <w:sz w:val="21"/>
        </w:rPr>
        <w:t>本附录用于作者内部核对，投稿时可删除或移入补充材料。</w:t>
      </w:r>
    </w:p>
    <w:p w14:paraId="5FADEA23">
      <w:pPr>
        <w:pStyle w:val="4"/>
        <w:keepNext/>
        <w:keepLines/>
      </w:pPr>
      <w:r>
        <w:t>A.1 结果图重跑规范</w:t>
      </w:r>
    </w:p>
    <w:p w14:paraId="729E63C0">
      <w:pPr>
        <w:pStyle w:val="16"/>
        <w:spacing w:after="80" w:line="290" w:lineRule="auto"/>
      </w:pPr>
      <w:r>
        <w:rPr>
          <w:rFonts w:ascii="Calibri" w:hAnsi="Calibri" w:eastAsia="宋体"/>
          <w:b w:val="0"/>
          <w:i w:val="0"/>
          <w:color w:val="0070C0"/>
          <w:sz w:val="21"/>
        </w:rPr>
        <w:t>优先输出矢量 PDF/EPS；若必须位图，组合图至少 500 dpi，纯线图至少 1000 dpi，照片至少 300 dpi。</w:t>
      </w:r>
    </w:p>
    <w:p w14:paraId="48B57630">
      <w:pPr>
        <w:pStyle w:val="16"/>
        <w:spacing w:after="80" w:line="290" w:lineRule="auto"/>
      </w:pPr>
      <w:r>
        <w:rPr>
          <w:rFonts w:ascii="Calibri" w:hAnsi="Calibri" w:eastAsia="宋体"/>
          <w:b w:val="0"/>
          <w:i w:val="0"/>
          <w:color w:val="0070C0"/>
          <w:sz w:val="21"/>
        </w:rPr>
        <w:t>按单栏约 90 mm、双栏约 180 mm 的最终缩放后字体仍保持约 7–9 pt。</w:t>
      </w:r>
    </w:p>
    <w:p w14:paraId="257F23BC">
      <w:pPr>
        <w:pStyle w:val="16"/>
        <w:spacing w:after="80" w:line="290" w:lineRule="auto"/>
      </w:pPr>
      <w:r>
        <w:rPr>
          <w:rFonts w:ascii="Calibri" w:hAnsi="Calibri" w:eastAsia="宋体"/>
          <w:b w:val="0"/>
          <w:i w:val="0"/>
          <w:color w:val="0070C0"/>
          <w:sz w:val="21"/>
        </w:rPr>
        <w:t>统一字体、线宽和颜色；实测用深灰/黑实线，模型用色尺寸设定画布；盲友好蓝/橙，不仅依赖红绿区分。</w:t>
      </w:r>
    </w:p>
    <w:p w14:paraId="259C361C">
      <w:pPr>
        <w:pStyle w:val="16"/>
        <w:spacing w:after="80" w:line="290" w:lineRule="auto"/>
      </w:pPr>
      <w:r>
        <w:rPr>
          <w:rFonts w:ascii="Calibri" w:hAnsi="Calibri" w:eastAsia="宋体"/>
          <w:b w:val="0"/>
          <w:i w:val="0"/>
          <w:color w:val="0070C0"/>
          <w:sz w:val="21"/>
        </w:rPr>
        <w:t>横轴使用真实时间（min 或 h），纵轴写“Temperature (K)”；误差图写清 residual = prediction − measurement。</w:t>
      </w:r>
    </w:p>
    <w:p w14:paraId="4E65B752">
      <w:pPr>
        <w:pStyle w:val="16"/>
        <w:spacing w:after="80" w:line="290" w:lineRule="auto"/>
      </w:pPr>
      <w:r>
        <w:rPr>
          <w:rFonts w:ascii="Calibri" w:hAnsi="Calibri" w:eastAsia="宋体"/>
          <w:b w:val="0"/>
          <w:i w:val="0"/>
          <w:color w:val="0070C0"/>
          <w:sz w:val="21"/>
        </w:rPr>
        <w:t>图内标题只保留必要信息，MAE、R² 等集中放入图注或表格；图例不得遮挡关键转折。</w:t>
      </w:r>
    </w:p>
    <w:p w14:paraId="319606BA">
      <w:pPr>
        <w:pStyle w:val="16"/>
        <w:spacing w:after="80" w:line="290" w:lineRule="auto"/>
      </w:pPr>
      <w:r>
        <w:rPr>
          <w:rFonts w:ascii="Calibri" w:hAnsi="Calibri" w:eastAsia="宋体"/>
          <w:b w:val="0"/>
          <w:i w:val="0"/>
          <w:color w:val="0070C0"/>
          <w:sz w:val="21"/>
        </w:rPr>
        <w:t>总览图与局部放大分开；不要将 18,000 点压缩成一张超宽图，也不要把事件柱占据一半版面。</w:t>
      </w:r>
    </w:p>
    <w:p w14:paraId="399312BA">
      <w:pPr>
        <w:pStyle w:val="16"/>
        <w:spacing w:after="80" w:line="290" w:lineRule="auto"/>
      </w:pPr>
      <w:r>
        <w:rPr>
          <w:rFonts w:ascii="Calibri" w:hAnsi="Calibri" w:eastAsia="宋体"/>
          <w:b w:val="0"/>
          <w:i w:val="0"/>
          <w:color w:val="0070C0"/>
          <w:sz w:val="21"/>
        </w:rPr>
        <w:t>所有曲线从同一保存预测数组生成，并同时导出 CSV，避免图上数值与表格数值不一致。</w:t>
      </w:r>
    </w:p>
    <w:p w14:paraId="445284EC">
      <w:pPr>
        <w:pStyle w:val="16"/>
        <w:spacing w:after="80" w:line="290" w:lineRule="auto"/>
      </w:pPr>
      <w:r>
        <w:rPr>
          <w:rFonts w:ascii="Calibri" w:hAnsi="Calibri" w:eastAsia="宋体"/>
          <w:b w:val="0"/>
          <w:i w:val="0"/>
          <w:color w:val="0070C0"/>
          <w:sz w:val="21"/>
        </w:rPr>
        <w:t>报告不确定性时使用跨随机种子或跨批次区间，不要把相邻采样点当作独立重复。</w:t>
      </w:r>
    </w:p>
    <w:p w14:paraId="717C08EA">
      <w:pPr>
        <w:pStyle w:val="4"/>
        <w:keepNext/>
        <w:keepLines/>
      </w:pPr>
      <w:r>
        <w:t>A.2 建议图表组合</w:t>
      </w:r>
    </w:p>
    <w:tbl>
      <w:tblPr>
        <w:tblStyle w:val="32"/>
        <w:tblW w:w="9360" w:type="dxa"/>
        <w:tblInd w:w="120" w:type="dxa"/>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Layout w:type="fixed"/>
        <w:tblCellMar>
          <w:top w:w="0" w:type="dxa"/>
          <w:left w:w="108" w:type="dxa"/>
          <w:bottom w:w="0" w:type="dxa"/>
          <w:right w:w="108" w:type="dxa"/>
        </w:tblCellMar>
      </w:tblPr>
      <w:tblGrid>
        <w:gridCol w:w="1152"/>
        <w:gridCol w:w="2520"/>
        <w:gridCol w:w="5688"/>
      </w:tblGrid>
      <w:tr w14:paraId="04DAC25A">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rPr>
          <w:tblHeader/>
        </w:trPr>
        <w:tc>
          <w:tcPr>
            <w:tcW w:w="1152" w:type="dxa"/>
            <w:shd w:val="clear" w:color="auto" w:fill="F3F5F7"/>
            <w:tcMar>
              <w:top w:w="90" w:type="dxa"/>
              <w:left w:w="120" w:type="dxa"/>
              <w:bottom w:w="90" w:type="dxa"/>
              <w:right w:w="120" w:type="dxa"/>
            </w:tcMar>
            <w:vAlign w:val="center"/>
          </w:tcPr>
          <w:p w14:paraId="6E2DD707">
            <w:pPr>
              <w:spacing w:after="0"/>
              <w:jc w:val="center"/>
            </w:pPr>
            <w:r>
              <w:rPr>
                <w:rFonts w:ascii="Calibri" w:hAnsi="Calibri" w:eastAsia="宋体"/>
                <w:b/>
                <w:i w:val="0"/>
                <w:color w:val="1F4E79"/>
                <w:sz w:val="18"/>
              </w:rPr>
              <w:t>编号</w:t>
            </w:r>
          </w:p>
        </w:tc>
        <w:tc>
          <w:tcPr>
            <w:tcW w:w="2520" w:type="dxa"/>
            <w:shd w:val="clear" w:color="auto" w:fill="F3F5F7"/>
            <w:tcMar>
              <w:top w:w="90" w:type="dxa"/>
              <w:left w:w="120" w:type="dxa"/>
              <w:bottom w:w="90" w:type="dxa"/>
              <w:right w:w="120" w:type="dxa"/>
            </w:tcMar>
            <w:vAlign w:val="center"/>
          </w:tcPr>
          <w:p w14:paraId="19772B31">
            <w:pPr>
              <w:spacing w:after="0"/>
              <w:jc w:val="center"/>
            </w:pPr>
            <w:r>
              <w:rPr>
                <w:rFonts w:ascii="Calibri" w:hAnsi="Calibri" w:eastAsia="宋体"/>
                <w:b/>
                <w:i w:val="0"/>
                <w:color w:val="1F4E79"/>
                <w:sz w:val="18"/>
              </w:rPr>
              <w:t>内容</w:t>
            </w:r>
          </w:p>
        </w:tc>
        <w:tc>
          <w:tcPr>
            <w:tcW w:w="5688" w:type="dxa"/>
            <w:shd w:val="clear" w:color="auto" w:fill="F3F5F7"/>
            <w:tcMar>
              <w:top w:w="90" w:type="dxa"/>
              <w:left w:w="120" w:type="dxa"/>
              <w:bottom w:w="90" w:type="dxa"/>
              <w:right w:w="120" w:type="dxa"/>
            </w:tcMar>
            <w:vAlign w:val="center"/>
          </w:tcPr>
          <w:p w14:paraId="7182655C">
            <w:pPr>
              <w:spacing w:after="0"/>
              <w:jc w:val="center"/>
            </w:pPr>
            <w:r>
              <w:rPr>
                <w:rFonts w:ascii="Calibri" w:hAnsi="Calibri" w:eastAsia="宋体"/>
                <w:b/>
                <w:i w:val="0"/>
                <w:color w:val="1F4E79"/>
                <w:sz w:val="18"/>
              </w:rPr>
              <w:t>最低要求</w:t>
            </w:r>
          </w:p>
        </w:tc>
      </w:tr>
      <w:tr w14:paraId="4C08D35B">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1152" w:type="dxa"/>
            <w:tcMar>
              <w:top w:w="90" w:type="dxa"/>
              <w:left w:w="120" w:type="dxa"/>
              <w:bottom w:w="90" w:type="dxa"/>
              <w:right w:w="120" w:type="dxa"/>
            </w:tcMar>
            <w:vAlign w:val="center"/>
          </w:tcPr>
          <w:p w14:paraId="3B4625D7">
            <w:pPr>
              <w:spacing w:after="0" w:line="264" w:lineRule="auto"/>
              <w:jc w:val="center"/>
            </w:pPr>
            <w:r>
              <w:rPr>
                <w:rFonts w:ascii="Calibri" w:hAnsi="Calibri" w:eastAsia="宋体"/>
                <w:b w:val="0"/>
                <w:i w:val="0"/>
                <w:color w:val="1F2D3D"/>
                <w:sz w:val="18"/>
              </w:rPr>
              <w:t>Fig. 1</w:t>
            </w:r>
          </w:p>
        </w:tc>
        <w:tc>
          <w:tcPr>
            <w:tcW w:w="2520" w:type="dxa"/>
            <w:tcMar>
              <w:top w:w="90" w:type="dxa"/>
              <w:left w:w="120" w:type="dxa"/>
              <w:bottom w:w="90" w:type="dxa"/>
              <w:right w:w="120" w:type="dxa"/>
            </w:tcMar>
            <w:vAlign w:val="center"/>
          </w:tcPr>
          <w:p w14:paraId="16B5E3B3">
            <w:pPr>
              <w:spacing w:after="0" w:line="264" w:lineRule="auto"/>
              <w:jc w:val="left"/>
            </w:pPr>
            <w:r>
              <w:rPr>
                <w:rFonts w:ascii="Calibri" w:hAnsi="Calibri" w:eastAsia="宋体"/>
                <w:b w:val="0"/>
                <w:i w:val="0"/>
                <w:color w:val="1F2D3D"/>
                <w:sz w:val="18"/>
              </w:rPr>
              <w:t>装置流程与测点</w:t>
            </w:r>
          </w:p>
        </w:tc>
        <w:tc>
          <w:tcPr>
            <w:tcW w:w="5688" w:type="dxa"/>
            <w:tcMar>
              <w:top w:w="90" w:type="dxa"/>
              <w:left w:w="120" w:type="dxa"/>
              <w:bottom w:w="90" w:type="dxa"/>
              <w:right w:w="120" w:type="dxa"/>
            </w:tcMar>
            <w:vAlign w:val="center"/>
          </w:tcPr>
          <w:p w14:paraId="35658AFC">
            <w:pPr>
              <w:spacing w:after="0" w:line="264" w:lineRule="auto"/>
              <w:jc w:val="left"/>
            </w:pPr>
            <w:r>
              <w:rPr>
                <w:rFonts w:ascii="Calibri" w:hAnsi="Calibri" w:eastAsia="宋体"/>
                <w:b w:val="0"/>
                <w:i w:val="0"/>
                <w:color w:val="1F2D3D"/>
                <w:sz w:val="18"/>
              </w:rPr>
              <w:t>矢量重绘；标明流向、控制阀、目标和物理下界测点</w:t>
            </w:r>
          </w:p>
        </w:tc>
      </w:tr>
      <w:tr w14:paraId="4A9FF8A7">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1152" w:type="dxa"/>
            <w:tcMar>
              <w:top w:w="90" w:type="dxa"/>
              <w:left w:w="120" w:type="dxa"/>
              <w:bottom w:w="90" w:type="dxa"/>
              <w:right w:w="120" w:type="dxa"/>
            </w:tcMar>
            <w:vAlign w:val="center"/>
          </w:tcPr>
          <w:p w14:paraId="3529930C">
            <w:pPr>
              <w:spacing w:after="0" w:line="264" w:lineRule="auto"/>
              <w:jc w:val="center"/>
            </w:pPr>
            <w:r>
              <w:rPr>
                <w:rFonts w:ascii="Calibri" w:hAnsi="Calibri" w:eastAsia="宋体"/>
                <w:b w:val="0"/>
                <w:i w:val="0"/>
                <w:color w:val="1F2D3D"/>
                <w:sz w:val="18"/>
              </w:rPr>
              <w:t>Fig. 2</w:t>
            </w:r>
          </w:p>
        </w:tc>
        <w:tc>
          <w:tcPr>
            <w:tcW w:w="2520" w:type="dxa"/>
            <w:tcMar>
              <w:top w:w="90" w:type="dxa"/>
              <w:left w:w="120" w:type="dxa"/>
              <w:bottom w:w="90" w:type="dxa"/>
              <w:right w:w="120" w:type="dxa"/>
            </w:tcMar>
            <w:vAlign w:val="center"/>
          </w:tcPr>
          <w:p w14:paraId="1756D8DB">
            <w:pPr>
              <w:spacing w:after="0" w:line="264" w:lineRule="auto"/>
              <w:jc w:val="left"/>
            </w:pPr>
            <w:r>
              <w:rPr>
                <w:rFonts w:ascii="Calibri" w:hAnsi="Calibri" w:eastAsia="宋体"/>
                <w:b w:val="0"/>
                <w:i w:val="0"/>
                <w:color w:val="1F2D3D"/>
                <w:sz w:val="18"/>
              </w:rPr>
              <w:t>数据覆盖与分组</w:t>
            </w:r>
          </w:p>
        </w:tc>
        <w:tc>
          <w:tcPr>
            <w:tcW w:w="5688" w:type="dxa"/>
            <w:tcMar>
              <w:top w:w="90" w:type="dxa"/>
              <w:left w:w="120" w:type="dxa"/>
              <w:bottom w:w="90" w:type="dxa"/>
              <w:right w:w="120" w:type="dxa"/>
            </w:tcMar>
            <w:vAlign w:val="center"/>
          </w:tcPr>
          <w:p w14:paraId="79A1BE56">
            <w:pPr>
              <w:spacing w:after="0" w:line="264" w:lineRule="auto"/>
              <w:jc w:val="left"/>
            </w:pPr>
            <w:r>
              <w:rPr>
                <w:rFonts w:ascii="Calibri" w:hAnsi="Calibri" w:eastAsia="宋体"/>
                <w:b w:val="0"/>
                <w:i w:val="0"/>
                <w:color w:val="1F2D3D"/>
                <w:sz w:val="18"/>
              </w:rPr>
              <w:t>各独立冷却批次 TE8353；训练/验证/测试与温区分布</w:t>
            </w:r>
          </w:p>
        </w:tc>
      </w:tr>
      <w:tr w14:paraId="6C4820A9">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1152" w:type="dxa"/>
            <w:tcMar>
              <w:top w:w="90" w:type="dxa"/>
              <w:left w:w="120" w:type="dxa"/>
              <w:bottom w:w="90" w:type="dxa"/>
              <w:right w:w="120" w:type="dxa"/>
            </w:tcMar>
            <w:vAlign w:val="center"/>
          </w:tcPr>
          <w:p w14:paraId="0A7B00B4">
            <w:pPr>
              <w:spacing w:after="0" w:line="264" w:lineRule="auto"/>
              <w:jc w:val="center"/>
            </w:pPr>
            <w:r>
              <w:rPr>
                <w:rFonts w:ascii="Calibri" w:hAnsi="Calibri" w:eastAsia="宋体"/>
                <w:b w:val="0"/>
                <w:i w:val="0"/>
                <w:color w:val="1F2D3D"/>
                <w:sz w:val="18"/>
              </w:rPr>
              <w:t>Fig. 3</w:t>
            </w:r>
          </w:p>
        </w:tc>
        <w:tc>
          <w:tcPr>
            <w:tcW w:w="2520" w:type="dxa"/>
            <w:tcMar>
              <w:top w:w="90" w:type="dxa"/>
              <w:left w:w="120" w:type="dxa"/>
              <w:bottom w:w="90" w:type="dxa"/>
              <w:right w:w="120" w:type="dxa"/>
            </w:tcMar>
            <w:vAlign w:val="center"/>
          </w:tcPr>
          <w:p w14:paraId="7E41BCC8">
            <w:pPr>
              <w:spacing w:after="0" w:line="264" w:lineRule="auto"/>
              <w:jc w:val="left"/>
            </w:pPr>
            <w:r>
              <w:rPr>
                <w:rFonts w:ascii="Calibri" w:hAnsi="Calibri" w:eastAsia="宋体"/>
                <w:b w:val="0"/>
                <w:i w:val="0"/>
                <w:color w:val="1F2D3D"/>
                <w:sz w:val="18"/>
              </w:rPr>
              <w:t>GRU-ODE 架构</w:t>
            </w:r>
          </w:p>
        </w:tc>
        <w:tc>
          <w:tcPr>
            <w:tcW w:w="5688" w:type="dxa"/>
            <w:tcMar>
              <w:top w:w="90" w:type="dxa"/>
              <w:left w:w="120" w:type="dxa"/>
              <w:bottom w:w="90" w:type="dxa"/>
              <w:right w:w="120" w:type="dxa"/>
            </w:tcMar>
            <w:vAlign w:val="center"/>
          </w:tcPr>
          <w:p w14:paraId="7996D125">
            <w:pPr>
              <w:spacing w:after="0" w:line="264" w:lineRule="auto"/>
              <w:jc w:val="left"/>
            </w:pPr>
            <w:r>
              <w:rPr>
                <w:rFonts w:ascii="Calibri" w:hAnsi="Calibri" w:eastAsia="宋体"/>
                <w:b w:val="0"/>
                <w:i w:val="0"/>
                <w:color w:val="1F2D3D"/>
                <w:sz w:val="18"/>
              </w:rPr>
              <w:t>历史编码、事件注意力、潜变量 ODE、损失与输出</w:t>
            </w:r>
          </w:p>
        </w:tc>
      </w:tr>
      <w:tr w14:paraId="02A0EB54">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1152" w:type="dxa"/>
            <w:tcMar>
              <w:top w:w="90" w:type="dxa"/>
              <w:left w:w="120" w:type="dxa"/>
              <w:bottom w:w="90" w:type="dxa"/>
              <w:right w:w="120" w:type="dxa"/>
            </w:tcMar>
            <w:vAlign w:val="center"/>
          </w:tcPr>
          <w:p w14:paraId="1AC45F37">
            <w:pPr>
              <w:spacing w:after="0" w:line="264" w:lineRule="auto"/>
              <w:jc w:val="center"/>
            </w:pPr>
            <w:r>
              <w:rPr>
                <w:rFonts w:ascii="Calibri" w:hAnsi="Calibri" w:eastAsia="宋体"/>
                <w:b w:val="0"/>
                <w:i w:val="0"/>
                <w:color w:val="1F2D3D"/>
                <w:sz w:val="18"/>
              </w:rPr>
              <w:t>Fig. 4</w:t>
            </w:r>
          </w:p>
        </w:tc>
        <w:tc>
          <w:tcPr>
            <w:tcW w:w="2520" w:type="dxa"/>
            <w:tcMar>
              <w:top w:w="90" w:type="dxa"/>
              <w:left w:w="120" w:type="dxa"/>
              <w:bottom w:w="90" w:type="dxa"/>
              <w:right w:w="120" w:type="dxa"/>
            </w:tcMar>
            <w:vAlign w:val="center"/>
          </w:tcPr>
          <w:p w14:paraId="70C08BCA">
            <w:pPr>
              <w:spacing w:after="0" w:line="264" w:lineRule="auto"/>
              <w:jc w:val="left"/>
            </w:pPr>
            <w:r>
              <w:rPr>
                <w:rFonts w:ascii="Calibri" w:hAnsi="Calibri" w:eastAsia="宋体"/>
                <w:b w:val="0"/>
                <w:i w:val="0"/>
                <w:color w:val="1F2D3D"/>
                <w:sz w:val="18"/>
              </w:rPr>
              <w:t>测试总览与残差</w:t>
            </w:r>
          </w:p>
        </w:tc>
        <w:tc>
          <w:tcPr>
            <w:tcW w:w="5688" w:type="dxa"/>
            <w:tcMar>
              <w:top w:w="90" w:type="dxa"/>
              <w:left w:w="120" w:type="dxa"/>
              <w:bottom w:w="90" w:type="dxa"/>
              <w:right w:w="120" w:type="dxa"/>
            </w:tcMar>
            <w:vAlign w:val="center"/>
          </w:tcPr>
          <w:p w14:paraId="11FBD531">
            <w:pPr>
              <w:spacing w:after="0" w:line="264" w:lineRule="auto"/>
              <w:jc w:val="left"/>
            </w:pPr>
            <w:r>
              <w:rPr>
                <w:rFonts w:ascii="Calibri" w:hAnsi="Calibri" w:eastAsia="宋体"/>
                <w:b w:val="0"/>
                <w:i w:val="0"/>
                <w:color w:val="1F2D3D"/>
                <w:sz w:val="18"/>
              </w:rPr>
              <w:t>真实时间轴；GRU、GRU-ODE、残差及工况阶段</w:t>
            </w:r>
          </w:p>
        </w:tc>
      </w:tr>
      <w:tr w14:paraId="459F3245">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1152" w:type="dxa"/>
            <w:tcMar>
              <w:top w:w="90" w:type="dxa"/>
              <w:left w:w="120" w:type="dxa"/>
              <w:bottom w:w="90" w:type="dxa"/>
              <w:right w:w="120" w:type="dxa"/>
            </w:tcMar>
            <w:vAlign w:val="center"/>
          </w:tcPr>
          <w:p w14:paraId="79EE64B3">
            <w:pPr>
              <w:spacing w:after="0" w:line="264" w:lineRule="auto"/>
              <w:jc w:val="center"/>
            </w:pPr>
            <w:r>
              <w:rPr>
                <w:rFonts w:ascii="Calibri" w:hAnsi="Calibri" w:eastAsia="宋体"/>
                <w:b w:val="0"/>
                <w:i w:val="0"/>
                <w:color w:val="1F2D3D"/>
                <w:sz w:val="18"/>
              </w:rPr>
              <w:t>Fig. 5</w:t>
            </w:r>
          </w:p>
        </w:tc>
        <w:tc>
          <w:tcPr>
            <w:tcW w:w="2520" w:type="dxa"/>
            <w:tcMar>
              <w:top w:w="90" w:type="dxa"/>
              <w:left w:w="120" w:type="dxa"/>
              <w:bottom w:w="90" w:type="dxa"/>
              <w:right w:w="120" w:type="dxa"/>
            </w:tcMar>
            <w:vAlign w:val="center"/>
          </w:tcPr>
          <w:p w14:paraId="351D55AC">
            <w:pPr>
              <w:spacing w:after="0" w:line="264" w:lineRule="auto"/>
              <w:jc w:val="left"/>
            </w:pPr>
            <w:r>
              <w:rPr>
                <w:rFonts w:ascii="Calibri" w:hAnsi="Calibri" w:eastAsia="宋体"/>
                <w:b w:val="0"/>
                <w:i w:val="0"/>
                <w:color w:val="1F2D3D"/>
                <w:sz w:val="18"/>
              </w:rPr>
              <w:t>四个局部窗口</w:t>
            </w:r>
          </w:p>
        </w:tc>
        <w:tc>
          <w:tcPr>
            <w:tcW w:w="5688" w:type="dxa"/>
            <w:tcMar>
              <w:top w:w="90" w:type="dxa"/>
              <w:left w:w="120" w:type="dxa"/>
              <w:bottom w:w="90" w:type="dxa"/>
              <w:right w:w="120" w:type="dxa"/>
            </w:tcMar>
            <w:vAlign w:val="center"/>
          </w:tcPr>
          <w:p w14:paraId="18A1F2E2">
            <w:pPr>
              <w:spacing w:after="0" w:line="264" w:lineRule="auto"/>
              <w:jc w:val="left"/>
            </w:pPr>
            <w:r>
              <w:rPr>
                <w:rFonts w:ascii="Calibri" w:hAnsi="Calibri" w:eastAsia="宋体"/>
                <w:b w:val="0"/>
                <w:i w:val="0"/>
                <w:color w:val="1F2D3D"/>
                <w:sz w:val="18"/>
              </w:rPr>
              <w:t>高温初段、转折、平台、末端；同步阀门开度</w:t>
            </w:r>
          </w:p>
        </w:tc>
      </w:tr>
      <w:tr w14:paraId="68186CFD">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1152" w:type="dxa"/>
            <w:tcMar>
              <w:top w:w="90" w:type="dxa"/>
              <w:left w:w="120" w:type="dxa"/>
              <w:bottom w:w="90" w:type="dxa"/>
              <w:right w:w="120" w:type="dxa"/>
            </w:tcMar>
            <w:vAlign w:val="center"/>
          </w:tcPr>
          <w:p w14:paraId="654694D7">
            <w:pPr>
              <w:spacing w:after="0" w:line="264" w:lineRule="auto"/>
              <w:jc w:val="center"/>
            </w:pPr>
            <w:r>
              <w:rPr>
                <w:rFonts w:ascii="Calibri" w:hAnsi="Calibri" w:eastAsia="宋体"/>
                <w:b w:val="0"/>
                <w:i w:val="0"/>
                <w:color w:val="1F2D3D"/>
                <w:sz w:val="18"/>
              </w:rPr>
              <w:t>Fig. 6</w:t>
            </w:r>
          </w:p>
        </w:tc>
        <w:tc>
          <w:tcPr>
            <w:tcW w:w="2520" w:type="dxa"/>
            <w:tcMar>
              <w:top w:w="90" w:type="dxa"/>
              <w:left w:w="120" w:type="dxa"/>
              <w:bottom w:w="90" w:type="dxa"/>
              <w:right w:w="120" w:type="dxa"/>
            </w:tcMar>
            <w:vAlign w:val="center"/>
          </w:tcPr>
          <w:p w14:paraId="0D0A3234">
            <w:pPr>
              <w:spacing w:after="0" w:line="264" w:lineRule="auto"/>
              <w:jc w:val="left"/>
            </w:pPr>
            <w:r>
              <w:rPr>
                <w:rFonts w:ascii="Calibri" w:hAnsi="Calibri" w:eastAsia="宋体"/>
                <w:b w:val="0"/>
                <w:i w:val="0"/>
                <w:color w:val="1F2D3D"/>
                <w:sz w:val="18"/>
              </w:rPr>
              <w:t>消融结果</w:t>
            </w:r>
          </w:p>
        </w:tc>
        <w:tc>
          <w:tcPr>
            <w:tcW w:w="5688" w:type="dxa"/>
            <w:tcMar>
              <w:top w:w="90" w:type="dxa"/>
              <w:left w:w="120" w:type="dxa"/>
              <w:bottom w:w="90" w:type="dxa"/>
              <w:right w:w="120" w:type="dxa"/>
            </w:tcMar>
            <w:vAlign w:val="center"/>
          </w:tcPr>
          <w:p w14:paraId="161B02D6">
            <w:pPr>
              <w:spacing w:after="0" w:line="264" w:lineRule="auto"/>
              <w:jc w:val="left"/>
            </w:pPr>
            <w:r>
              <w:rPr>
                <w:rFonts w:ascii="Calibri" w:hAnsi="Calibri" w:eastAsia="宋体"/>
                <w:b w:val="0"/>
                <w:i w:val="0"/>
                <w:color w:val="1F2D3D"/>
                <w:sz w:val="18"/>
              </w:rPr>
              <w:t>MAE/RMSE/事件 MAE/违反率，均值±标准差</w:t>
            </w:r>
          </w:p>
        </w:tc>
      </w:tr>
      <w:tr w14:paraId="42DFBD46">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1152" w:type="dxa"/>
            <w:tcMar>
              <w:top w:w="90" w:type="dxa"/>
              <w:left w:w="120" w:type="dxa"/>
              <w:bottom w:w="90" w:type="dxa"/>
              <w:right w:w="120" w:type="dxa"/>
            </w:tcMar>
            <w:vAlign w:val="center"/>
          </w:tcPr>
          <w:p w14:paraId="40F8E167">
            <w:pPr>
              <w:spacing w:after="0" w:line="264" w:lineRule="auto"/>
              <w:jc w:val="center"/>
            </w:pPr>
            <w:r>
              <w:rPr>
                <w:rFonts w:ascii="Calibri" w:hAnsi="Calibri" w:eastAsia="宋体"/>
                <w:b w:val="0"/>
                <w:i w:val="0"/>
                <w:color w:val="1F2D3D"/>
                <w:sz w:val="18"/>
              </w:rPr>
              <w:t>Fig. 7</w:t>
            </w:r>
          </w:p>
        </w:tc>
        <w:tc>
          <w:tcPr>
            <w:tcW w:w="2520" w:type="dxa"/>
            <w:tcMar>
              <w:top w:w="90" w:type="dxa"/>
              <w:left w:w="120" w:type="dxa"/>
              <w:bottom w:w="90" w:type="dxa"/>
              <w:right w:w="120" w:type="dxa"/>
            </w:tcMar>
            <w:vAlign w:val="center"/>
          </w:tcPr>
          <w:p w14:paraId="5ED283CE">
            <w:pPr>
              <w:spacing w:after="0" w:line="264" w:lineRule="auto"/>
              <w:jc w:val="left"/>
            </w:pPr>
            <w:r>
              <w:rPr>
                <w:rFonts w:ascii="Calibri" w:hAnsi="Calibri" w:eastAsia="宋体"/>
                <w:b w:val="0"/>
                <w:i w:val="0"/>
                <w:color w:val="1F2D3D"/>
                <w:sz w:val="18"/>
              </w:rPr>
              <w:t>反事实一致性</w:t>
            </w:r>
          </w:p>
        </w:tc>
        <w:tc>
          <w:tcPr>
            <w:tcW w:w="5688" w:type="dxa"/>
            <w:tcMar>
              <w:top w:w="90" w:type="dxa"/>
              <w:left w:w="120" w:type="dxa"/>
              <w:bottom w:w="90" w:type="dxa"/>
              <w:right w:w="120" w:type="dxa"/>
            </w:tcMar>
            <w:vAlign w:val="center"/>
          </w:tcPr>
          <w:p w14:paraId="66238F22">
            <w:pPr>
              <w:spacing w:after="0" w:line="264" w:lineRule="auto"/>
              <w:jc w:val="left"/>
            </w:pPr>
            <w:r>
              <w:rPr>
                <w:rFonts w:ascii="Calibri" w:hAnsi="Calibri" w:eastAsia="宋体"/>
                <w:b w:val="0"/>
                <w:i w:val="0"/>
                <w:color w:val="1F2D3D"/>
                <w:sz w:val="18"/>
              </w:rPr>
              <w:t>扰动幅度–响应曲线、违反率与幅值区间</w:t>
            </w:r>
          </w:p>
        </w:tc>
      </w:tr>
      <w:tr w14:paraId="11BB3B86">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1152" w:type="dxa"/>
            <w:tcMar>
              <w:top w:w="90" w:type="dxa"/>
              <w:left w:w="120" w:type="dxa"/>
              <w:bottom w:w="90" w:type="dxa"/>
              <w:right w:w="120" w:type="dxa"/>
            </w:tcMar>
            <w:vAlign w:val="center"/>
          </w:tcPr>
          <w:p w14:paraId="7F25B07E">
            <w:pPr>
              <w:spacing w:after="0" w:line="264" w:lineRule="auto"/>
              <w:jc w:val="center"/>
            </w:pPr>
            <w:r>
              <w:rPr>
                <w:rFonts w:ascii="Calibri" w:hAnsi="Calibri" w:eastAsia="宋体"/>
                <w:b w:val="0"/>
                <w:i w:val="0"/>
                <w:color w:val="1F2D3D"/>
                <w:sz w:val="18"/>
              </w:rPr>
              <w:t>Fig. 8</w:t>
            </w:r>
          </w:p>
        </w:tc>
        <w:tc>
          <w:tcPr>
            <w:tcW w:w="2520" w:type="dxa"/>
            <w:tcMar>
              <w:top w:w="90" w:type="dxa"/>
              <w:left w:w="120" w:type="dxa"/>
              <w:bottom w:w="90" w:type="dxa"/>
              <w:right w:w="120" w:type="dxa"/>
            </w:tcMar>
            <w:vAlign w:val="center"/>
          </w:tcPr>
          <w:p w14:paraId="25509048">
            <w:pPr>
              <w:spacing w:after="0" w:line="264" w:lineRule="auto"/>
              <w:jc w:val="left"/>
            </w:pPr>
            <w:r>
              <w:rPr>
                <w:rFonts w:ascii="Calibri" w:hAnsi="Calibri" w:eastAsia="宋体"/>
                <w:b w:val="0"/>
                <w:i w:val="0"/>
                <w:color w:val="1F2D3D"/>
                <w:sz w:val="18"/>
              </w:rPr>
              <w:t>计算效率</w:t>
            </w:r>
          </w:p>
        </w:tc>
        <w:tc>
          <w:tcPr>
            <w:tcW w:w="5688" w:type="dxa"/>
            <w:tcMar>
              <w:top w:w="90" w:type="dxa"/>
              <w:left w:w="120" w:type="dxa"/>
              <w:bottom w:w="90" w:type="dxa"/>
              <w:right w:w="120" w:type="dxa"/>
            </w:tcMar>
            <w:vAlign w:val="center"/>
          </w:tcPr>
          <w:p w14:paraId="14594DA6">
            <w:pPr>
              <w:spacing w:after="0" w:line="264" w:lineRule="auto"/>
              <w:jc w:val="left"/>
            </w:pPr>
            <w:r>
              <w:rPr>
                <w:rFonts w:ascii="Calibri" w:hAnsi="Calibri" w:eastAsia="宋体"/>
                <w:b w:val="0"/>
                <w:i w:val="0"/>
                <w:color w:val="1F2D3D"/>
                <w:sz w:val="18"/>
              </w:rPr>
              <w:t>批大小–时延、RK4 步数–误差/时延折中</w:t>
            </w:r>
          </w:p>
        </w:tc>
      </w:tr>
      <w:tr w14:paraId="2FB82C35">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1152" w:type="dxa"/>
            <w:tcMar>
              <w:top w:w="90" w:type="dxa"/>
              <w:left w:w="120" w:type="dxa"/>
              <w:bottom w:w="90" w:type="dxa"/>
              <w:right w:w="120" w:type="dxa"/>
            </w:tcMar>
            <w:vAlign w:val="center"/>
          </w:tcPr>
          <w:p w14:paraId="7B28084F">
            <w:pPr>
              <w:spacing w:after="0" w:line="264" w:lineRule="auto"/>
              <w:jc w:val="center"/>
            </w:pPr>
            <w:r>
              <w:rPr>
                <w:rFonts w:ascii="Calibri" w:hAnsi="Calibri" w:eastAsia="宋体"/>
                <w:b w:val="0"/>
                <w:i w:val="0"/>
                <w:color w:val="1F2D3D"/>
                <w:sz w:val="18"/>
              </w:rPr>
              <w:t>Table 1</w:t>
            </w:r>
          </w:p>
        </w:tc>
        <w:tc>
          <w:tcPr>
            <w:tcW w:w="2520" w:type="dxa"/>
            <w:tcMar>
              <w:top w:w="90" w:type="dxa"/>
              <w:left w:w="120" w:type="dxa"/>
              <w:bottom w:w="90" w:type="dxa"/>
              <w:right w:w="120" w:type="dxa"/>
            </w:tcMar>
            <w:vAlign w:val="center"/>
          </w:tcPr>
          <w:p w14:paraId="3DAD76D0">
            <w:pPr>
              <w:spacing w:after="0" w:line="264" w:lineRule="auto"/>
              <w:jc w:val="left"/>
            </w:pPr>
            <w:r>
              <w:rPr>
                <w:rFonts w:ascii="Calibri" w:hAnsi="Calibri" w:eastAsia="宋体"/>
                <w:b w:val="0"/>
                <w:i w:val="0"/>
                <w:color w:val="1F2D3D"/>
                <w:sz w:val="18"/>
              </w:rPr>
              <w:t>数据与变量</w:t>
            </w:r>
          </w:p>
        </w:tc>
        <w:tc>
          <w:tcPr>
            <w:tcW w:w="5688" w:type="dxa"/>
            <w:tcMar>
              <w:top w:w="90" w:type="dxa"/>
              <w:left w:w="120" w:type="dxa"/>
              <w:bottom w:w="90" w:type="dxa"/>
              <w:right w:w="120" w:type="dxa"/>
            </w:tcMar>
            <w:vAlign w:val="center"/>
          </w:tcPr>
          <w:p w14:paraId="1618E90B">
            <w:pPr>
              <w:spacing w:after="0" w:line="264" w:lineRule="auto"/>
              <w:jc w:val="left"/>
            </w:pPr>
            <w:r>
              <w:rPr>
                <w:rFonts w:ascii="Calibri" w:hAnsi="Calibri" w:eastAsia="宋体"/>
                <w:b w:val="0"/>
                <w:i w:val="0"/>
                <w:color w:val="1F2D3D"/>
                <w:sz w:val="18"/>
              </w:rPr>
              <w:t>源组、记录数、传感器单位和预处理</w:t>
            </w:r>
          </w:p>
        </w:tc>
      </w:tr>
      <w:tr w14:paraId="25A8E763">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1152" w:type="dxa"/>
            <w:tcMar>
              <w:top w:w="90" w:type="dxa"/>
              <w:left w:w="120" w:type="dxa"/>
              <w:bottom w:w="90" w:type="dxa"/>
              <w:right w:w="120" w:type="dxa"/>
            </w:tcMar>
            <w:vAlign w:val="center"/>
          </w:tcPr>
          <w:p w14:paraId="6A0DC0AD">
            <w:pPr>
              <w:spacing w:after="0" w:line="264" w:lineRule="auto"/>
              <w:jc w:val="center"/>
            </w:pPr>
            <w:r>
              <w:rPr>
                <w:rFonts w:ascii="Calibri" w:hAnsi="Calibri" w:eastAsia="宋体"/>
                <w:b w:val="0"/>
                <w:i w:val="0"/>
                <w:color w:val="1F2D3D"/>
                <w:sz w:val="18"/>
              </w:rPr>
              <w:t>Table 2</w:t>
            </w:r>
          </w:p>
        </w:tc>
        <w:tc>
          <w:tcPr>
            <w:tcW w:w="2520" w:type="dxa"/>
            <w:tcMar>
              <w:top w:w="90" w:type="dxa"/>
              <w:left w:w="120" w:type="dxa"/>
              <w:bottom w:w="90" w:type="dxa"/>
              <w:right w:w="120" w:type="dxa"/>
            </w:tcMar>
            <w:vAlign w:val="center"/>
          </w:tcPr>
          <w:p w14:paraId="67CCAF4A">
            <w:pPr>
              <w:spacing w:after="0" w:line="264" w:lineRule="auto"/>
              <w:jc w:val="left"/>
            </w:pPr>
            <w:r>
              <w:rPr>
                <w:rFonts w:ascii="Calibri" w:hAnsi="Calibri" w:eastAsia="宋体"/>
                <w:b w:val="0"/>
                <w:i w:val="0"/>
                <w:color w:val="1F2D3D"/>
                <w:sz w:val="18"/>
              </w:rPr>
              <w:t>模型参数</w:t>
            </w:r>
          </w:p>
        </w:tc>
        <w:tc>
          <w:tcPr>
            <w:tcW w:w="5688" w:type="dxa"/>
            <w:tcMar>
              <w:top w:w="90" w:type="dxa"/>
              <w:left w:w="120" w:type="dxa"/>
              <w:bottom w:w="90" w:type="dxa"/>
              <w:right w:w="120" w:type="dxa"/>
            </w:tcMar>
            <w:vAlign w:val="center"/>
          </w:tcPr>
          <w:p w14:paraId="100D8EF8">
            <w:pPr>
              <w:spacing w:after="0" w:line="264" w:lineRule="auto"/>
              <w:jc w:val="left"/>
            </w:pPr>
            <w:r>
              <w:rPr>
                <w:rFonts w:ascii="Calibri" w:hAnsi="Calibri" w:eastAsia="宋体"/>
                <w:b w:val="0"/>
                <w:i w:val="0"/>
                <w:color w:val="1F2D3D"/>
                <w:sz w:val="18"/>
              </w:rPr>
              <w:t>统一输入后的架构与训练超参数</w:t>
            </w:r>
          </w:p>
        </w:tc>
      </w:tr>
      <w:tr w14:paraId="7C69E9F3">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1152" w:type="dxa"/>
            <w:tcMar>
              <w:top w:w="90" w:type="dxa"/>
              <w:left w:w="120" w:type="dxa"/>
              <w:bottom w:w="90" w:type="dxa"/>
              <w:right w:w="120" w:type="dxa"/>
            </w:tcMar>
            <w:vAlign w:val="center"/>
          </w:tcPr>
          <w:p w14:paraId="49BFF946">
            <w:pPr>
              <w:spacing w:after="0" w:line="264" w:lineRule="auto"/>
              <w:jc w:val="center"/>
            </w:pPr>
            <w:r>
              <w:rPr>
                <w:rFonts w:ascii="Calibri" w:hAnsi="Calibri" w:eastAsia="宋体"/>
                <w:b w:val="0"/>
                <w:i w:val="0"/>
                <w:color w:val="1F2D3D"/>
                <w:sz w:val="18"/>
              </w:rPr>
              <w:t>Table 3</w:t>
            </w:r>
          </w:p>
        </w:tc>
        <w:tc>
          <w:tcPr>
            <w:tcW w:w="2520" w:type="dxa"/>
            <w:tcMar>
              <w:top w:w="90" w:type="dxa"/>
              <w:left w:w="120" w:type="dxa"/>
              <w:bottom w:w="90" w:type="dxa"/>
              <w:right w:w="120" w:type="dxa"/>
            </w:tcMar>
            <w:vAlign w:val="center"/>
          </w:tcPr>
          <w:p w14:paraId="7913D3DC">
            <w:pPr>
              <w:spacing w:after="0" w:line="264" w:lineRule="auto"/>
              <w:jc w:val="left"/>
            </w:pPr>
            <w:r>
              <w:rPr>
                <w:rFonts w:ascii="Calibri" w:hAnsi="Calibri" w:eastAsia="宋体"/>
                <w:b w:val="0"/>
                <w:i w:val="0"/>
                <w:color w:val="1F2D3D"/>
                <w:sz w:val="18"/>
              </w:rPr>
              <w:t>主结果</w:t>
            </w:r>
          </w:p>
        </w:tc>
        <w:tc>
          <w:tcPr>
            <w:tcW w:w="5688" w:type="dxa"/>
            <w:tcMar>
              <w:top w:w="90" w:type="dxa"/>
              <w:left w:w="120" w:type="dxa"/>
              <w:bottom w:w="90" w:type="dxa"/>
              <w:right w:w="120" w:type="dxa"/>
            </w:tcMar>
            <w:vAlign w:val="center"/>
          </w:tcPr>
          <w:p w14:paraId="7DC34AB4">
            <w:pPr>
              <w:spacing w:after="0" w:line="264" w:lineRule="auto"/>
              <w:jc w:val="left"/>
            </w:pPr>
            <w:r>
              <w:rPr>
                <w:rFonts w:ascii="Calibri" w:hAnsi="Calibri" w:eastAsia="宋体"/>
                <w:b w:val="0"/>
                <w:i w:val="0"/>
                <w:color w:val="1F2D3D"/>
                <w:sz w:val="18"/>
              </w:rPr>
              <w:t>多种子、分温区、事件窗口及 95% CI</w:t>
            </w:r>
          </w:p>
        </w:tc>
      </w:tr>
      <w:tr w14:paraId="7F3EAEB7">
        <w:tblPrEx>
          <w:tblBorders>
            <w:top w:val="single" w:color="AAB2BD" w:sz="6" w:space="0"/>
            <w:left w:val="single" w:color="AAB2BD" w:sz="6" w:space="0"/>
            <w:bottom w:val="single" w:color="AAB2BD" w:sz="6" w:space="0"/>
            <w:right w:val="single" w:color="AAB2BD" w:sz="6" w:space="0"/>
            <w:insideH w:val="single" w:color="AAB2BD" w:sz="6" w:space="0"/>
            <w:insideV w:val="single" w:color="AAB2BD" w:sz="6" w:space="0"/>
          </w:tblBorders>
          <w:tblCellMar>
            <w:top w:w="0" w:type="dxa"/>
            <w:left w:w="108" w:type="dxa"/>
            <w:bottom w:w="0" w:type="dxa"/>
            <w:right w:w="108" w:type="dxa"/>
          </w:tblCellMar>
        </w:tblPrEx>
        <w:tc>
          <w:tcPr>
            <w:tcW w:w="1152" w:type="dxa"/>
            <w:tcMar>
              <w:top w:w="90" w:type="dxa"/>
              <w:left w:w="120" w:type="dxa"/>
              <w:bottom w:w="90" w:type="dxa"/>
              <w:right w:w="120" w:type="dxa"/>
            </w:tcMar>
            <w:vAlign w:val="center"/>
          </w:tcPr>
          <w:p w14:paraId="7C31F78F">
            <w:pPr>
              <w:spacing w:after="0" w:line="264" w:lineRule="auto"/>
              <w:jc w:val="center"/>
            </w:pPr>
            <w:r>
              <w:rPr>
                <w:rFonts w:ascii="Calibri" w:hAnsi="Calibri" w:eastAsia="宋体"/>
                <w:b w:val="0"/>
                <w:i w:val="0"/>
                <w:color w:val="1F2D3D"/>
                <w:sz w:val="18"/>
              </w:rPr>
              <w:t>Table 4</w:t>
            </w:r>
          </w:p>
        </w:tc>
        <w:tc>
          <w:tcPr>
            <w:tcW w:w="2520" w:type="dxa"/>
            <w:tcMar>
              <w:top w:w="90" w:type="dxa"/>
              <w:left w:w="120" w:type="dxa"/>
              <w:bottom w:w="90" w:type="dxa"/>
              <w:right w:w="120" w:type="dxa"/>
            </w:tcMar>
            <w:vAlign w:val="center"/>
          </w:tcPr>
          <w:p w14:paraId="26177C2D">
            <w:pPr>
              <w:spacing w:after="0" w:line="264" w:lineRule="auto"/>
              <w:jc w:val="left"/>
            </w:pPr>
            <w:r>
              <w:rPr>
                <w:rFonts w:ascii="Calibri" w:hAnsi="Calibri" w:eastAsia="宋体"/>
                <w:b w:val="0"/>
                <w:i w:val="0"/>
                <w:color w:val="1F2D3D"/>
                <w:sz w:val="18"/>
              </w:rPr>
              <w:t>物理一致性</w:t>
            </w:r>
          </w:p>
        </w:tc>
        <w:tc>
          <w:tcPr>
            <w:tcW w:w="5688" w:type="dxa"/>
            <w:tcMar>
              <w:top w:w="90" w:type="dxa"/>
              <w:left w:w="120" w:type="dxa"/>
              <w:bottom w:w="90" w:type="dxa"/>
              <w:right w:w="120" w:type="dxa"/>
            </w:tcMar>
            <w:vAlign w:val="center"/>
          </w:tcPr>
          <w:p w14:paraId="5988A8F1">
            <w:pPr>
              <w:spacing w:after="0" w:line="264" w:lineRule="auto"/>
              <w:jc w:val="left"/>
            </w:pPr>
            <w:r>
              <w:rPr>
                <w:rFonts w:ascii="Calibri" w:hAnsi="Calibri" w:eastAsia="宋体"/>
                <w:b w:val="0"/>
                <w:i w:val="0"/>
                <w:color w:val="1F2D3D"/>
                <w:sz w:val="18"/>
              </w:rPr>
              <w:t>各阀门违反率/幅值、下界违反与敏感性</w:t>
            </w:r>
          </w:p>
        </w:tc>
      </w:tr>
    </w:tbl>
    <w:p w14:paraId="19508B55">
      <w:pPr>
        <w:spacing w:after="40"/>
      </w:pPr>
    </w:p>
    <w:p w14:paraId="5EB87029">
      <w:pPr>
        <w:pStyle w:val="4"/>
        <w:keepNext/>
        <w:keepLines/>
      </w:pPr>
      <w:r>
        <w:t>A.3 当前材料中不应直接用于投稿的图</w:t>
      </w:r>
    </w:p>
    <w:p w14:paraId="7DB2BC19">
      <w:pPr>
        <w:pStyle w:val="16"/>
        <w:spacing w:after="80" w:line="290" w:lineRule="auto"/>
      </w:pPr>
      <w:r>
        <w:rPr>
          <w:rFonts w:ascii="Calibri" w:hAnsi="Calibri" w:eastAsia="宋体"/>
          <w:b w:val="0"/>
          <w:i w:val="0"/>
          <w:color w:val="C00000"/>
          <w:sz w:val="21"/>
        </w:rPr>
        <w:t>8400 PLC/HMI 截图：分辨率低、含界面按钮与日期，且与 8300 命名不完全一致。</w:t>
      </w:r>
    </w:p>
    <w:p w14:paraId="17CC3335">
      <w:pPr>
        <w:pStyle w:val="16"/>
        <w:spacing w:after="80" w:line="290" w:lineRule="auto"/>
      </w:pPr>
      <w:r>
        <w:rPr>
          <w:rFonts w:ascii="Calibri" w:hAnsi="Calibri" w:eastAsia="宋体"/>
          <w:b w:val="0"/>
          <w:i w:val="0"/>
          <w:color w:val="C00000"/>
          <w:sz w:val="21"/>
        </w:rPr>
        <w:t>当前 GRU/GRU-ODE 总览 PNG：画布过宽、字体偏大、Time Steps 无物理单位、事件子图占比过高。</w:t>
      </w:r>
    </w:p>
    <w:p w14:paraId="5B6B4C3D">
      <w:pPr>
        <w:pStyle w:val="16"/>
        <w:spacing w:after="80" w:line="290" w:lineRule="auto"/>
      </w:pPr>
      <w:r>
        <w:rPr>
          <w:rFonts w:ascii="Calibri" w:hAnsi="Calibri" w:eastAsia="宋体"/>
          <w:b w:val="0"/>
          <w:i w:val="0"/>
          <w:color w:val="C00000"/>
          <w:sz w:val="21"/>
        </w:rPr>
        <w:t>旧反事实图：部分温度范围或目标变量与当前 300–4.5 K TE8353 数据不一致，且只展示单条人为干预。</w:t>
      </w:r>
    </w:p>
    <w:p w14:paraId="1B4D7BC3">
      <w:pPr>
        <w:pStyle w:val="16"/>
        <w:spacing w:after="80" w:line="290" w:lineRule="auto"/>
      </w:pPr>
      <w:r>
        <w:rPr>
          <w:rFonts w:ascii="Calibri" w:hAnsi="Calibri" w:eastAsia="宋体"/>
          <w:b w:val="0"/>
          <w:i w:val="0"/>
          <w:color w:val="C00000"/>
          <w:sz w:val="21"/>
        </w:rPr>
        <w:t>全连接层示意图：为通用网络示意，不能代表本文 GRU-ODE 结构。</w:t>
      </w:r>
    </w:p>
    <w:sectPr>
      <w:headerReference r:id="rId5" w:type="default"/>
      <w:footerReference r:id="rId6" w:type="default"/>
      <w:pgSz w:w="12240" w:h="15840"/>
      <w:pgMar w:top="1296" w:right="1440" w:bottom="1296" w:left="1440" w:header="648" w:footer="64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D7288">
    <w:pPr>
      <w:pStyle w:val="24"/>
      <w:jc w:val="right"/>
    </w:pPr>
    <w:r>
      <w:rPr>
        <w:rFonts w:ascii="Calibri" w:hAnsi="Calibri" w:eastAsia="宋体"/>
        <w:b w:val="0"/>
        <w:i w:val="0"/>
        <w:color w:val="5F6973"/>
        <w:sz w:val="17"/>
      </w:rPr>
      <w:t xml:space="preserve">Page </w:t>
    </w:r>
    <w:r>
      <w:rPr>
        <w:rFonts w:ascii="Calibri" w:hAnsi="Calibri" w:eastAsia="宋体"/>
        <w:b w:val="0"/>
        <w:i w:val="0"/>
        <w:color w:val="5F6973"/>
        <w:sz w:val="17"/>
      </w:rPr>
      <w:fldChar w:fldCharType="begin"/>
    </w:r>
    <w:r>
      <w:rPr>
        <w:rFonts w:ascii="Calibri" w:hAnsi="Calibri" w:eastAsia="宋体"/>
        <w:b w:val="0"/>
        <w:i w:val="0"/>
        <w:color w:val="5F6973"/>
        <w:sz w:val="17"/>
      </w:rPr>
      <w:instrText xml:space="preserve">PAGE</w:instrText>
    </w:r>
    <w:r>
      <w:rPr>
        <w:rFonts w:ascii="Calibri" w:hAnsi="Calibri" w:eastAsia="宋体"/>
        <w:b w:val="0"/>
        <w:i w:val="0"/>
        <w:color w:val="5F6973"/>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D40F0">
    <w:pPr>
      <w:pStyle w:val="25"/>
      <w:jc w:val="left"/>
    </w:pPr>
    <w:r>
      <w:rPr>
        <w:rFonts w:ascii="Calibri" w:hAnsi="Calibri" w:eastAsia="宋体"/>
        <w:b w:val="0"/>
        <w:i/>
        <w:color w:val="5F6973"/>
        <w:sz w:val="16"/>
      </w:rPr>
      <w:t>Physics-constrained GRU-ODE for cryogenic temperature prediction · 中文初稿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B74989"/>
    <w:rsid w:val="49127E42"/>
    <w:rsid w:val="5F473629"/>
    <w:rsid w:val="7446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20" w:lineRule="auto"/>
    </w:pPr>
    <w:rPr>
      <w:rFonts w:ascii="Calibri" w:hAnsi="Calibri" w:eastAsia="宋体" w:cstheme="minorBidi"/>
      <w:color w:val="1F2D3D"/>
      <w:sz w:val="21"/>
      <w:szCs w:val="22"/>
      <w:lang w:val="en-US" w:eastAsia="en-US" w:bidi="ar-SA"/>
    </w:rPr>
  </w:style>
  <w:style w:type="paragraph" w:styleId="3">
    <w:name w:val="heading 1"/>
    <w:basedOn w:val="1"/>
    <w:next w:val="1"/>
    <w:link w:val="138"/>
    <w:qFormat/>
    <w:uiPriority w:val="9"/>
    <w:pPr>
      <w:keepNext/>
      <w:keepLines/>
      <w:spacing w:before="360" w:after="180"/>
      <w:outlineLvl w:val="0"/>
    </w:pPr>
    <w:rPr>
      <w:rFonts w:asciiTheme="majorHAnsi" w:hAnsiTheme="majorHAnsi" w:eastAsiaTheme="majorEastAsia" w:cstheme="majorBidi"/>
      <w:b/>
      <w:bCs/>
      <w:color w:val="2E74B5"/>
      <w:sz w:val="30"/>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5"/>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E79"/>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spacing w:after="80" w:line="290" w:lineRule="auto"/>
      <w:contextualSpacing/>
    </w:pPr>
    <w:rPr>
      <w:rFonts w:ascii="Calibri" w:hAnsi="Calibri" w:eastAsia="宋体"/>
      <w:sz w:val="21"/>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80" w:line="290" w:lineRule="auto"/>
      <w:contextualSpacing/>
    </w:pPr>
    <w:rPr>
      <w:rFonts w:ascii="Calibri" w:hAnsi="Calibri" w:eastAsia="宋体"/>
      <w:sz w:val="21"/>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spacing w:after="80" w:line="290" w:lineRule="auto"/>
      <w:contextualSpacing/>
    </w:pPr>
    <w:rPr>
      <w:rFonts w:ascii="Calibri" w:hAnsi="Calibri" w:eastAsia="宋体"/>
      <w:sz w:val="21"/>
    </w:r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spacing w:after="280"/>
    </w:pPr>
    <w:rPr>
      <w:rFonts w:asciiTheme="majorHAnsi" w:hAnsiTheme="majorHAnsi" w:eastAsiaTheme="majorEastAsia" w:cstheme="majorBidi"/>
      <w:i/>
      <w:iCs/>
      <w:color w:val="5F6973"/>
      <w:spacing w:val="15"/>
      <w:sz w:val="22"/>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160" w:line="240" w:lineRule="auto"/>
      <w:contextualSpacing/>
    </w:pPr>
    <w:rPr>
      <w:rFonts w:asciiTheme="majorHAnsi" w:hAnsiTheme="majorHAnsi" w:eastAsiaTheme="majorEastAsia" w:cstheme="majorBidi"/>
      <w:b/>
      <w:color w:val="142332"/>
      <w:spacing w:val="5"/>
      <w:kern w:val="28"/>
      <w:sz w:val="3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3002</Words>
  <Characters>3697</Characters>
  <Lines>0</Lines>
  <Paragraphs>0</Paragraphs>
  <TotalTime>4591</TotalTime>
  <ScaleCrop>false</ScaleCrop>
  <LinksUpToDate>false</LinksUpToDate>
  <CharactersWithSpaces>3965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徐佳琦</cp:lastModifiedBy>
  <dcterms:modified xsi:type="dcterms:W3CDTF">2026-07-14T11:30:42Z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eyJoZGlkIjoiNTI4YmYxMTU5YWUzMzZlNzE5ODVlOGVjN2QxYjZhZjgiLCJ1c2VySWQiOiIxNzY2ODU5MzU3In0=</vt:lpwstr>
  </property>
  <property fmtid="{D5CDD505-2E9C-101B-9397-08002B2CF9AE}" pid="3" name="KSOProductBuildVer">
    <vt:lpwstr>2052-12.1.0.26895</vt:lpwstr>
  </property>
  <property fmtid="{D5CDD505-2E9C-101B-9397-08002B2CF9AE}" pid="4" name="ICV">
    <vt:lpwstr>7EA8845A3CA9477C9D8A741CD96CBDA1_13</vt:lpwstr>
  </property>
</Properties>
</file>